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sz w:val="44"/>
          <w:szCs w:val="44"/>
        </w:rPr>
      </w:pPr>
      <w:r>
        <w:rPr>
          <w:rFonts w:hint="default" w:eastAsia="Times New Roman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default" w:eastAsia="Times New Roman"/>
          <w:sz w:val="44"/>
          <w:szCs w:val="44"/>
        </w:rPr>
        <w:t>年孤儿基本生活保障补助项目</w:t>
      </w:r>
    </w:p>
    <w:p>
      <w:pPr>
        <w:jc w:val="center"/>
        <w:rPr>
          <w:rFonts w:hint="default" w:eastAsia="Times New Roman"/>
          <w:sz w:val="36"/>
        </w:rPr>
      </w:pPr>
      <w:r>
        <w:rPr>
          <w:rFonts w:hint="default" w:eastAsia="Times New Roman"/>
          <w:sz w:val="44"/>
          <w:szCs w:val="44"/>
        </w:rPr>
        <w:t>情况公告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年孤儿基本生活保障补助项目由民政局202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年彩票公益金支持。依据最新《</w:t>
      </w:r>
      <w:r>
        <w:rPr>
          <w:rFonts w:hint="eastAsia"/>
          <w:sz w:val="28"/>
          <w:szCs w:val="28"/>
          <w:lang w:eastAsia="zh-CN"/>
        </w:rPr>
        <w:t>河南省福利</w:t>
      </w:r>
      <w:r>
        <w:rPr>
          <w:rFonts w:hint="eastAsia"/>
          <w:sz w:val="28"/>
          <w:szCs w:val="28"/>
        </w:rPr>
        <w:t>彩票公益金</w:t>
      </w:r>
      <w:r>
        <w:rPr>
          <w:rFonts w:hint="eastAsia"/>
          <w:sz w:val="28"/>
          <w:szCs w:val="28"/>
          <w:lang w:eastAsia="zh-CN"/>
        </w:rPr>
        <w:t>使用</w:t>
      </w:r>
      <w:r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  <w:lang w:eastAsia="zh-CN"/>
        </w:rPr>
        <w:t>信息公开</w:t>
      </w:r>
      <w:r>
        <w:rPr>
          <w:rFonts w:hint="eastAsia"/>
          <w:sz w:val="28"/>
          <w:szCs w:val="28"/>
        </w:rPr>
        <w:t>办法》</w:t>
      </w:r>
      <w:r>
        <w:rPr>
          <w:rFonts w:hint="eastAsia"/>
          <w:sz w:val="28"/>
          <w:szCs w:val="28"/>
          <w:lang w:eastAsia="zh-CN"/>
        </w:rPr>
        <w:t>（豫财综</w:t>
      </w:r>
      <w:r>
        <w:rPr>
          <w:rFonts w:hint="eastAsia" w:ascii="宋体" w:hAnsi="宋体" w:eastAsia="宋体" w:cs="宋体"/>
          <w:sz w:val="28"/>
          <w:szCs w:val="28"/>
        </w:rPr>
        <w:t>﹝</w:t>
      </w:r>
      <w:r>
        <w:rPr>
          <w:rFonts w:hint="eastAsia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﹞</w:t>
      </w:r>
      <w:r>
        <w:rPr>
          <w:rFonts w:hint="eastAsia" w:cs="宋体"/>
          <w:sz w:val="28"/>
          <w:szCs w:val="28"/>
          <w:lang w:val="en-US" w:eastAsia="zh-CN"/>
        </w:rPr>
        <w:t>179号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规定，现将202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年项目情况公告如下：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一、项目名称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年孤儿基本生活保障补助项目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二、项目内容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发放孤儿基本生活保障金</w:t>
      </w:r>
      <w:r>
        <w:rPr>
          <w:rFonts w:hint="eastAsia"/>
          <w:sz w:val="28"/>
          <w:szCs w:val="28"/>
          <w:lang w:eastAsia="zh-CN"/>
        </w:rPr>
        <w:t>，对孤儿的基本生活及日常所需进行资金补助</w:t>
      </w:r>
      <w:r>
        <w:rPr>
          <w:rFonts w:hint="eastAsia"/>
          <w:sz w:val="28"/>
          <w:szCs w:val="28"/>
        </w:rPr>
        <w:t>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三、项目周期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default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1年。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四、资金额度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1.59</w:t>
      </w:r>
      <w:r>
        <w:rPr>
          <w:rFonts w:hint="eastAsia"/>
          <w:sz w:val="28"/>
          <w:szCs w:val="28"/>
        </w:rPr>
        <w:t>万元。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五、项目负责人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王莉燕</w:t>
      </w:r>
      <w:bookmarkStart w:id="0" w:name="_GoBack"/>
      <w:bookmarkEnd w:id="0"/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六、联系方式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68186302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七、项目完成情况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default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执行完毕。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八、实际效果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100" w:lineRule="atLeast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通过项目实施，保障了孤儿基本生活所需，推动社会福利体系的建设和完善。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九、资金管理办法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发放人员花名册及资金数额清单核对无误，按有关文件要求及时足额发放到人到户，发放方式实行社会化发放，通过银行代理金融机构直接发放到人到户。</w:t>
      </w:r>
    </w:p>
    <w:sectPr>
      <w:pgMar w:top="567" w:right="1134" w:bottom="283" w:left="1134" w:header="720" w:footer="720" w:gutter="0"/>
      <w:paperSrc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8AF0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</w:rPr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styleId="4">
    <w:name w:val="Strong"/>
    <w:basedOn w:val="3"/>
    <w:qFormat/>
    <w:uiPriority w:val="22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2021-06-24T08:48:00Z</dcterms:created>
  <dc:creator>mzj</dc:creator>
  <cp:lastModifiedBy>mzj</cp:lastModifiedBy>
  <dcterms:modified xsi:type="dcterms:W3CDTF">2022-06-17T07:54:30Z</dcterms:modified>
  <dc:title>2020年残疾人福利类项目情况公告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