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rFonts w:hint="eastAsia" w:ascii="宋体" w:hAnsi="宋体" w:cs="宋体"/>
          <w:b/>
          <w:bCs/>
          <w:sz w:val="44"/>
          <w:szCs w:val="44"/>
          <w:lang w:val="en-US" w:eastAsia="zh-CN"/>
        </w:rPr>
        <w:t>二七区建设和交通局2024</w:t>
      </w:r>
      <w:r>
        <w:rPr>
          <w:rFonts w:hint="eastAsia" w:ascii="宋体" w:hAnsi="宋体" w:eastAsia="宋体" w:cs="宋体"/>
          <w:b/>
          <w:bCs/>
          <w:sz w:val="44"/>
          <w:szCs w:val="44"/>
          <w:lang w:val="en-US" w:eastAsia="zh-CN"/>
        </w:rPr>
        <w:t>年</w:t>
      </w:r>
      <w:r>
        <w:rPr>
          <w:rFonts w:hint="eastAsia" w:ascii="宋体" w:hAnsi="宋体" w:cs="宋体"/>
          <w:b/>
          <w:bCs/>
          <w:sz w:val="44"/>
          <w:szCs w:val="44"/>
          <w:lang w:val="en-US" w:eastAsia="zh-CN"/>
        </w:rPr>
        <w:t>“</w:t>
      </w:r>
      <w:r>
        <w:rPr>
          <w:rFonts w:hint="eastAsia" w:ascii="宋体" w:hAnsi="宋体" w:eastAsia="宋体" w:cs="宋体"/>
          <w:b/>
          <w:bCs/>
          <w:sz w:val="44"/>
          <w:szCs w:val="44"/>
          <w:lang w:val="en-US" w:eastAsia="zh-CN"/>
        </w:rPr>
        <w:t>双随机</w:t>
      </w:r>
      <w:r>
        <w:rPr>
          <w:rFonts w:hint="eastAsia" w:ascii="宋体" w:hAnsi="宋体" w:cs="宋体"/>
          <w:b/>
          <w:bCs/>
          <w:sz w:val="44"/>
          <w:szCs w:val="44"/>
          <w:lang w:val="en-US" w:eastAsia="zh-CN"/>
        </w:rPr>
        <w:t>、</w:t>
      </w:r>
      <w:r>
        <w:rPr>
          <w:rFonts w:hint="eastAsia" w:ascii="宋体" w:hAnsi="宋体" w:eastAsia="宋体" w:cs="宋体"/>
          <w:b/>
          <w:bCs/>
          <w:sz w:val="44"/>
          <w:szCs w:val="44"/>
          <w:lang w:val="en-US" w:eastAsia="zh-CN"/>
        </w:rPr>
        <w:t>一公开</w:t>
      </w:r>
      <w:r>
        <w:rPr>
          <w:rFonts w:hint="eastAsia" w:ascii="宋体" w:hAnsi="宋体" w:cs="宋体"/>
          <w:b/>
          <w:bCs/>
          <w:sz w:val="44"/>
          <w:szCs w:val="44"/>
          <w:lang w:val="en-US" w:eastAsia="zh-CN"/>
        </w:rPr>
        <w:t>”抽查事项清单</w:t>
      </w:r>
    </w:p>
    <w:bookmarkEnd w:id="0"/>
    <w:tbl>
      <w:tblPr>
        <w:tblStyle w:val="4"/>
        <w:tblpPr w:leftFromText="180" w:rightFromText="180" w:vertAnchor="text" w:horzAnchor="page" w:tblpXSpec="center" w:tblpY="624"/>
        <w:tblOverlap w:val="never"/>
        <w:tblW w:w="14603" w:type="dxa"/>
        <w:jc w:val="center"/>
        <w:tblLayout w:type="fixed"/>
        <w:tblCellMar>
          <w:top w:w="0" w:type="dxa"/>
          <w:left w:w="0" w:type="dxa"/>
          <w:bottom w:w="0" w:type="dxa"/>
          <w:right w:w="0" w:type="dxa"/>
        </w:tblCellMar>
      </w:tblPr>
      <w:tblGrid>
        <w:gridCol w:w="567"/>
        <w:gridCol w:w="1559"/>
        <w:gridCol w:w="2891"/>
        <w:gridCol w:w="1276"/>
        <w:gridCol w:w="1247"/>
        <w:gridCol w:w="1054"/>
        <w:gridCol w:w="1247"/>
        <w:gridCol w:w="1247"/>
        <w:gridCol w:w="1247"/>
        <w:gridCol w:w="2268"/>
      </w:tblGrid>
      <w:tr>
        <w:tblPrEx>
          <w:tblCellMar>
            <w:top w:w="0" w:type="dxa"/>
            <w:left w:w="0" w:type="dxa"/>
            <w:bottom w:w="0" w:type="dxa"/>
            <w:right w:w="0" w:type="dxa"/>
          </w:tblCellMar>
        </w:tblPrEx>
        <w:trPr>
          <w:trHeight w:val="682" w:hRule="atLeast"/>
          <w:jc w:val="center"/>
        </w:trPr>
        <w:tc>
          <w:tcPr>
            <w:tcW w:w="567"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59" w:type="dxa"/>
            <w:tcBorders>
              <w:top w:val="single" w:color="000000" w:sz="8" w:space="0"/>
              <w:left w:val="nil"/>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抽查事项</w:t>
            </w:r>
            <w:r>
              <w:rPr>
                <w:rFonts w:hint="eastAsia" w:ascii="宋体" w:hAnsi="宋体" w:cs="宋体"/>
                <w:i w:val="0"/>
                <w:color w:val="000000"/>
                <w:kern w:val="0"/>
                <w:sz w:val="24"/>
                <w:szCs w:val="24"/>
                <w:u w:val="none"/>
                <w:lang w:val="en-US" w:eastAsia="zh-CN" w:bidi="ar"/>
              </w:rPr>
              <w:t>名称</w:t>
            </w:r>
          </w:p>
        </w:tc>
        <w:tc>
          <w:tcPr>
            <w:tcW w:w="2891"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抽查依据</w:t>
            </w:r>
          </w:p>
        </w:tc>
        <w:tc>
          <w:tcPr>
            <w:tcW w:w="1276" w:type="dxa"/>
            <w:tcBorders>
              <w:top w:val="single" w:color="000000" w:sz="8"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抽查主体</w:t>
            </w:r>
          </w:p>
        </w:tc>
        <w:tc>
          <w:tcPr>
            <w:tcW w:w="1247" w:type="dxa"/>
            <w:tcBorders>
              <w:top w:val="single" w:color="000000" w:sz="8"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抽查对象</w:t>
            </w:r>
          </w:p>
        </w:tc>
        <w:tc>
          <w:tcPr>
            <w:tcW w:w="1054"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抽查比例</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抽查频次</w:t>
            </w:r>
          </w:p>
        </w:tc>
        <w:tc>
          <w:tcPr>
            <w:tcW w:w="1247"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w:t>
            </w:r>
            <w:r>
              <w:rPr>
                <w:rFonts w:hint="eastAsia" w:ascii="宋体" w:hAnsi="宋体" w:cs="宋体"/>
                <w:i w:val="0"/>
                <w:color w:val="000000"/>
                <w:kern w:val="0"/>
                <w:sz w:val="24"/>
                <w:szCs w:val="24"/>
                <w:u w:val="none"/>
                <w:lang w:val="en-US" w:eastAsia="zh-CN" w:bidi="ar"/>
              </w:rPr>
              <w:t>时间</w:t>
            </w:r>
          </w:p>
        </w:tc>
        <w:tc>
          <w:tcPr>
            <w:tcW w:w="1247" w:type="dxa"/>
            <w:tcBorders>
              <w:top w:val="single" w:color="000000" w:sz="8" w:space="0"/>
              <w:left w:val="single" w:color="auto" w:sz="4"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抽查方式</w:t>
            </w:r>
          </w:p>
        </w:tc>
        <w:tc>
          <w:tcPr>
            <w:tcW w:w="2268" w:type="dxa"/>
            <w:tcBorders>
              <w:top w:val="single" w:color="000000" w:sz="8" w:space="0"/>
              <w:left w:val="nil"/>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抽查内容及要求</w:t>
            </w:r>
          </w:p>
        </w:tc>
      </w:tr>
      <w:tr>
        <w:tblPrEx>
          <w:tblCellMar>
            <w:top w:w="0" w:type="dxa"/>
            <w:left w:w="0" w:type="dxa"/>
            <w:bottom w:w="0" w:type="dxa"/>
            <w:right w:w="0" w:type="dxa"/>
          </w:tblCellMar>
        </w:tblPrEx>
        <w:trPr>
          <w:trHeight w:val="2598"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仿宋_GB2312" w:hAnsi="仿宋_GB2312" w:eastAsia="仿宋_GB2312" w:cs="仿宋_GB2312"/>
                <w:color w:val="000000"/>
                <w:kern w:val="0"/>
                <w:sz w:val="24"/>
                <w:szCs w:val="24"/>
                <w:highlight w:val="none"/>
                <w:lang w:val="en-US" w:eastAsia="zh-CN" w:bidi="ar"/>
              </w:rPr>
              <w:t>工程实体质量的监督检查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《房屋建筑和市政基础设施工程质量监督管理规定》第五条第(二) 项: 抽查涉及工程主体结构安全和主要使用功能的工程实体质量。</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utoSpaceDN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sz w:val="24"/>
                <w:szCs w:val="24"/>
                <w:highlight w:val="none"/>
                <w:lang w:val="en-US" w:eastAsia="zh-CN"/>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autoSpaceDN w:val="0"/>
              <w:jc w:val="center"/>
              <w:textAlignment w:val="center"/>
              <w:rPr>
                <w:rFonts w:hint="default"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不高</w:t>
            </w:r>
            <w:r>
              <w:rPr>
                <w:rFonts w:hint="eastAsia" w:ascii="仿宋_GB2312" w:hAnsi="仿宋_GB2312" w:eastAsia="仿宋_GB2312" w:cs="仿宋_GB2312"/>
                <w:color w:val="000000"/>
                <w:kern w:val="0"/>
                <w:sz w:val="24"/>
                <w:szCs w:val="24"/>
                <w:lang w:val="en-US" w:eastAsia="zh-CN" w:bidi="ar"/>
              </w:rPr>
              <w:t>于</w:t>
            </w:r>
            <w:r>
              <w:rPr>
                <w:rFonts w:hint="default"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utoSpaceDN w:val="0"/>
              <w:jc w:val="center"/>
              <w:textAlignment w:val="center"/>
              <w:rPr>
                <w:rFonts w:hint="default"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2次/</w:t>
            </w:r>
            <w:r>
              <w:rPr>
                <w:rFonts w:hint="eastAsia" w:ascii="仿宋_GB2312" w:hAnsi="仿宋_GB2312" w:eastAsia="仿宋_GB2312" w:cs="仿宋_GB2312"/>
                <w:color w:val="000000"/>
                <w:kern w:val="0"/>
                <w:sz w:val="24"/>
                <w:szCs w:val="24"/>
                <w:lang w:val="en-US" w:eastAsia="zh-CN" w:bidi="ar"/>
              </w:rPr>
              <w:t>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spacing w:line="280" w:lineRule="exact"/>
              <w:jc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全年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autoSpaceDN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1.贯彻落实相关法律法规、政策文件和工程建设标准规范执行情况; 2.工程实体质量情况。</w:t>
            </w:r>
          </w:p>
        </w:tc>
      </w:tr>
      <w:tr>
        <w:tblPrEx>
          <w:tblCellMar>
            <w:top w:w="0" w:type="dxa"/>
            <w:left w:w="0" w:type="dxa"/>
            <w:bottom w:w="0" w:type="dxa"/>
            <w:right w:w="0" w:type="dxa"/>
          </w:tblCellMar>
        </w:tblPrEx>
        <w:trPr>
          <w:trHeight w:val="3464"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工程质量责任主体和质量检测等单位的工程质量行为的监督检查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《房屋建筑和市政基础设施工程质量监督管理规定》第五条第(三) 项: 抽查工程质量责任主体和质量检测等单位的工程质量行为</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不高</w:t>
            </w:r>
            <w:r>
              <w:rPr>
                <w:rFonts w:hint="eastAsia" w:ascii="仿宋_GB2312" w:hAnsi="仿宋_GB2312" w:eastAsia="仿宋_GB2312" w:cs="仿宋_GB2312"/>
                <w:color w:val="000000"/>
                <w:kern w:val="0"/>
                <w:sz w:val="24"/>
                <w:szCs w:val="24"/>
                <w:lang w:val="en-US" w:eastAsia="zh-CN" w:bidi="ar"/>
              </w:rPr>
              <w:t>于</w:t>
            </w:r>
            <w:r>
              <w:rPr>
                <w:rFonts w:hint="default"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2次/</w:t>
            </w:r>
            <w:r>
              <w:rPr>
                <w:rFonts w:hint="eastAsia" w:ascii="仿宋_GB2312" w:hAnsi="仿宋_GB2312" w:eastAsia="仿宋_GB2312" w:cs="仿宋_GB2312"/>
                <w:color w:val="000000"/>
                <w:kern w:val="0"/>
                <w:sz w:val="24"/>
                <w:szCs w:val="24"/>
                <w:lang w:val="en-US" w:eastAsia="zh-CN" w:bidi="ar"/>
              </w:rPr>
              <w:t>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全年</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1.抽查工程质量责任主体和质量检测等单位的工程质量行为;2.工程质量管理标准化落实情况:3.工程质量手册制度实施情况。</w:t>
            </w:r>
          </w:p>
        </w:tc>
      </w:tr>
      <w:tr>
        <w:tblPrEx>
          <w:tblCellMar>
            <w:top w:w="0" w:type="dxa"/>
            <w:left w:w="0" w:type="dxa"/>
            <w:bottom w:w="0" w:type="dxa"/>
            <w:right w:w="0" w:type="dxa"/>
          </w:tblCellMar>
        </w:tblPrEx>
        <w:trPr>
          <w:trHeight w:val="2633"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主要建筑材料、建筑构配件质量的监督检查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《房屋建筑和市政基础设施工程质量监督管理规定》第五条第(四) 项: 抽查主要建筑材料、建筑构配件的质量。</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不高</w:t>
            </w:r>
            <w:r>
              <w:rPr>
                <w:rFonts w:hint="eastAsia" w:ascii="仿宋_GB2312" w:hAnsi="仿宋_GB2312" w:eastAsia="仿宋_GB2312" w:cs="仿宋_GB2312"/>
                <w:color w:val="000000"/>
                <w:kern w:val="0"/>
                <w:sz w:val="24"/>
                <w:szCs w:val="24"/>
                <w:lang w:val="en-US" w:eastAsia="zh-CN" w:bidi="ar"/>
              </w:rPr>
              <w:t>于</w:t>
            </w:r>
            <w:r>
              <w:rPr>
                <w:rFonts w:hint="default"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default" w:ascii="仿宋_GB2312" w:hAnsi="仿宋_GB2312" w:eastAsia="仿宋_GB2312" w:cs="仿宋_GB2312"/>
                <w:color w:val="000000"/>
                <w:kern w:val="0"/>
                <w:sz w:val="24"/>
                <w:szCs w:val="24"/>
                <w:lang w:val="en-US" w:eastAsia="zh-CN" w:bidi="ar"/>
              </w:rPr>
              <w:t>2次/</w:t>
            </w:r>
            <w:r>
              <w:rPr>
                <w:rFonts w:hint="eastAsia" w:ascii="仿宋_GB2312" w:hAnsi="仿宋_GB2312" w:eastAsia="仿宋_GB2312" w:cs="仿宋_GB2312"/>
                <w:color w:val="000000"/>
                <w:kern w:val="0"/>
                <w:sz w:val="24"/>
                <w:szCs w:val="24"/>
                <w:lang w:val="en-US" w:eastAsia="zh-CN" w:bidi="ar"/>
              </w:rPr>
              <w:t>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全年</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1.参建责任单位及其从业人员执行相关法律法规和工程建设强制性标准情况:2.主要建筑材料(包括混凝土、钢筋等)、建筑构配件的质量情况。</w:t>
            </w:r>
          </w:p>
        </w:tc>
      </w:tr>
      <w:tr>
        <w:tblPrEx>
          <w:tblCellMar>
            <w:top w:w="0" w:type="dxa"/>
            <w:left w:w="0" w:type="dxa"/>
            <w:bottom w:w="0" w:type="dxa"/>
            <w:right w:w="0" w:type="dxa"/>
          </w:tblCellMar>
        </w:tblPrEx>
        <w:trPr>
          <w:trHeight w:val="5502"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检查建筑施工企业“三类人员”持证上岗、教育培训和履行职责情况</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《建筑施工企业主要负责人、项目负责人和专职安全生产管理人员安全生产管理规定》(住房城乡建设部 17 号令)第五条:“安管人员”应当通过其受聘企业，向企业工商注册地的省、自治区直辖市人民政府住房城乡建设主管部门申请安全生产考核，并取得安全生产考核合格证书。第二十三条: 县级以上人民政府住房城乡建设主管部门应当依照有关法律法规和本规定，对“安管人员”持证上岗、教育培训和履行职责等情况进行监督检查。</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4-12月</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检查“三类人员”安全生产考核是否符合规定要求，检查其执业行为是否符合法律法规规章规定。</w:t>
            </w:r>
          </w:p>
        </w:tc>
      </w:tr>
      <w:tr>
        <w:tblPrEx>
          <w:tblCellMar>
            <w:top w:w="0" w:type="dxa"/>
            <w:left w:w="0" w:type="dxa"/>
            <w:bottom w:w="0" w:type="dxa"/>
            <w:right w:w="0" w:type="dxa"/>
          </w:tblCellMar>
        </w:tblPrEx>
        <w:trPr>
          <w:trHeight w:val="31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施工现场建筑起重机械安全管理情况检查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《建筑起重机械安全监督管理规定》（建设部令第166号） 第三条：……县级以上地方人民政府建设主管部门对本行政区域内的建筑起重机械的租赁、安装、拆卸、使用实施监督管理。</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检查建筑施工现场起重机械涉及责任主体行为是否符合法律法规规章规定的要求。</w:t>
            </w:r>
          </w:p>
        </w:tc>
      </w:tr>
      <w:tr>
        <w:tblPrEx>
          <w:tblCellMar>
            <w:top w:w="0" w:type="dxa"/>
            <w:left w:w="0" w:type="dxa"/>
            <w:bottom w:w="0" w:type="dxa"/>
            <w:right w:w="0" w:type="dxa"/>
          </w:tblCellMar>
        </w:tblPrEx>
        <w:trPr>
          <w:trHeight w:val="3650"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特种作业人员持证上岗情况监督检查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建设工程安全生产管理条例》（国务院令第393号）第二十五条：垂直运输机械作业人员、安装拆卸工、爆破作业人员、起重信号工、登高架设作业人员等特种作业人员，必须按照国家有关规定经过专门的安全作业培训，并取得特种作业操作资格证书后，方可上岗作业。</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检查特种作业人员持证上岗情况。</w:t>
            </w:r>
          </w:p>
        </w:tc>
      </w:tr>
      <w:tr>
        <w:tblPrEx>
          <w:tblCellMar>
            <w:top w:w="0" w:type="dxa"/>
            <w:left w:w="0" w:type="dxa"/>
            <w:bottom w:w="0" w:type="dxa"/>
            <w:right w:w="0" w:type="dxa"/>
          </w:tblCellMar>
        </w:tblPrEx>
        <w:trPr>
          <w:trHeight w:val="31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施工现场危大工程安全管理检查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《危险性较大的分部分项工程安全管理规定》（住建部令第37号）第二十六条　县级以上地方人民政府住房城乡建设主管部门或者所属施工安全监督机构，应当根据监督工作计划对危大工程进行抽查。</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检查危险性较大的分部分项工程施工管控体系、管控流程和管控责任落实情况。</w:t>
            </w:r>
          </w:p>
        </w:tc>
      </w:tr>
      <w:tr>
        <w:tblPrEx>
          <w:tblCellMar>
            <w:top w:w="0" w:type="dxa"/>
            <w:left w:w="0" w:type="dxa"/>
            <w:bottom w:w="0" w:type="dxa"/>
            <w:right w:w="0" w:type="dxa"/>
          </w:tblCellMar>
        </w:tblPrEx>
        <w:trPr>
          <w:trHeight w:val="3416"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施工现场事故隐患检查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华人民共和国安全生产法》第四十一条第三款：县级以上地方各级人民政府负有安全生产监督管理职责的部门应当将重大事故隐患纳入相关信息系统，建立健全重大事故隐患治理督办制度，督促生产经营单位消除重大事故隐患。</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检查发现施工现场存在的重大事故隐患，并督促施工单位及时整改消除。</w:t>
            </w:r>
          </w:p>
        </w:tc>
      </w:tr>
      <w:tr>
        <w:tblPrEx>
          <w:tblCellMar>
            <w:top w:w="0" w:type="dxa"/>
            <w:left w:w="0" w:type="dxa"/>
            <w:bottom w:w="0" w:type="dxa"/>
            <w:right w:w="0" w:type="dxa"/>
          </w:tblCellMar>
        </w:tblPrEx>
        <w:trPr>
          <w:trHeight w:val="437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双重预防体系建设</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《中华人民共和国安全生产法》、《建设工程安全生产管理条例》、《河南省风险隐患与排查治理办法》。</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企业主要负责人、分管负责人及各岗位人员履行“双体系”职责情况；企业是否制定“双体系”实施方案、是否建立“双体系”组织机构，明确职责分工；制定企业双重预防体系培训计划；制定企业安全风险辨识程序和方法；制定企业安全风险评估办法或准则。</w:t>
            </w:r>
          </w:p>
        </w:tc>
      </w:tr>
      <w:tr>
        <w:tblPrEx>
          <w:tblCellMar>
            <w:top w:w="0" w:type="dxa"/>
            <w:left w:w="0" w:type="dxa"/>
            <w:bottom w:w="0" w:type="dxa"/>
            <w:right w:w="0" w:type="dxa"/>
          </w:tblCellMar>
        </w:tblPrEx>
        <w:trPr>
          <w:trHeight w:val="31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对劳务用工实名制落实情况的检查</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《郑州市建筑市场管理条例》第五章二十六条；《保障农民工工资支付条例》第五十五条</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在建房屋建筑和市政基础设施工程</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不高于5%</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2次/年</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每半年一次</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劳务用工实名制管理情况</w:t>
            </w:r>
          </w:p>
        </w:tc>
      </w:tr>
      <w:tr>
        <w:tblPrEx>
          <w:tblCellMar>
            <w:top w:w="0" w:type="dxa"/>
            <w:left w:w="0" w:type="dxa"/>
            <w:bottom w:w="0" w:type="dxa"/>
            <w:right w:w="0" w:type="dxa"/>
          </w:tblCellMar>
        </w:tblPrEx>
        <w:trPr>
          <w:trHeight w:val="3151" w:hRule="atLeast"/>
          <w:jc w:val="center"/>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新型墙材产品生产应用情况</w:t>
            </w:r>
          </w:p>
        </w:tc>
        <w:tc>
          <w:tcPr>
            <w:tcW w:w="289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《河南省发展应用新型墙体材料条例》</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二七区建设和交通局</w:t>
            </w:r>
          </w:p>
        </w:tc>
        <w:tc>
          <w:tcPr>
            <w:tcW w:w="124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墙材生产企业、在建工地</w:t>
            </w:r>
          </w:p>
        </w:tc>
        <w:tc>
          <w:tcPr>
            <w:tcW w:w="1054"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随机</w:t>
            </w:r>
          </w:p>
        </w:tc>
        <w:tc>
          <w:tcPr>
            <w:tcW w:w="12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每季度一次</w:t>
            </w:r>
          </w:p>
        </w:tc>
        <w:tc>
          <w:tcPr>
            <w:tcW w:w="124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季度末</w:t>
            </w:r>
          </w:p>
        </w:tc>
        <w:tc>
          <w:tcPr>
            <w:tcW w:w="124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现场检查、书面检查</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企业开工生产情况、产品流向登记情况</w:t>
            </w:r>
          </w:p>
        </w:tc>
      </w:tr>
    </w:tbl>
    <w:tbl>
      <w:tblPr>
        <w:tblStyle w:val="5"/>
        <w:tblpPr w:leftFromText="180" w:rightFromText="180" w:vertAnchor="text" w:tblpX="15506" w:tblpY="-20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693" w:type="dxa"/>
          </w:tcPr>
          <w:p>
            <w:pPr>
              <w:rPr>
                <w:rFonts w:hint="eastAsia" w:ascii="仿宋" w:hAnsi="仿宋" w:eastAsia="仿宋" w:cs="仿宋"/>
                <w:sz w:val="30"/>
                <w:szCs w:val="30"/>
                <w:vertAlign w:val="baseline"/>
                <w:lang w:val="en-US" w:eastAsia="zh-CN"/>
              </w:rPr>
            </w:pPr>
          </w:p>
        </w:tc>
      </w:tr>
    </w:tbl>
    <w:p>
      <w:pPr>
        <w:rPr>
          <w:rFonts w:hint="eastAsia" w:ascii="仿宋" w:hAnsi="仿宋" w:eastAsia="仿宋" w:cs="仿宋"/>
          <w:sz w:val="30"/>
          <w:szCs w:val="30"/>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ZWY3MzgyY2YwNGYzMzMwZTY1NmM1MDg0Yjk5YjEifQ=="/>
  </w:docVars>
  <w:rsids>
    <w:rsidRoot w:val="14B0046B"/>
    <w:rsid w:val="14B0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line="480" w:lineRule="exact"/>
      <w:ind w:firstLine="567"/>
    </w:pPr>
    <w:rPr>
      <w:rFonts w:ascii="仿宋_GB2312" w:eastAsia="仿宋_GB2312"/>
      <w:color w:val="000000"/>
      <w:spacing w:val="-12"/>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2024-04-18T02:54:00Z</dcterms:created>
  <dc:creator>棒棒的Sisi</dc:creator>
  <cp:lastModifiedBy>棒棒的Sisi</cp:lastModifiedBy>
  <dcterms:modified xsi:type="dcterms:W3CDTF">2024-04-18T02:55:32Z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2A3B03E569B4452D9D2389DB9266F0CC_11</vt:lpwstr>
  </property>
</Properties>
</file>