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pacing w:line="56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二七区2021年国民经济和社会发展计划</w:t>
      </w:r>
    </w:p>
    <w:p>
      <w:pPr>
        <w:keepNext w:val="0"/>
        <w:keepLines w:val="0"/>
        <w:pageBreakBefore w:val="0"/>
        <w:widowControl w:val="0"/>
        <w:kinsoku/>
        <w:wordWrap/>
        <w:overflowPunct w:val="0"/>
        <w:topLinePunct w:val="0"/>
        <w:autoSpaceDE w:val="0"/>
        <w:autoSpaceDN w:val="0"/>
        <w:bidi w:val="0"/>
        <w:adjustRightInd/>
        <w:spacing w:line="56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执行情况与2022年计划（草案）</w:t>
      </w:r>
    </w:p>
    <w:p>
      <w:pPr>
        <w:pStyle w:val="2"/>
        <w:pageBreakBefore w:val="0"/>
        <w:widowControl w:val="0"/>
        <w:kinsoku/>
        <w:wordWrap/>
        <w:topLinePunct w:val="0"/>
        <w:bidi w:val="0"/>
        <w:spacing w:before="0" w:after="0" w:line="560" w:lineRule="exact"/>
        <w:rPr>
          <w:rFonts w:hint="default"/>
          <w:lang w:val="en-US" w:eastAsia="zh-CN"/>
        </w:rPr>
      </w:pPr>
    </w:p>
    <w:p>
      <w:pPr>
        <w:pageBreakBefore w:val="0"/>
        <w:widowControl w:val="0"/>
        <w:kinsoku/>
        <w:wordWrap/>
        <w:topLinePunct w:val="0"/>
        <w:bidi w:val="0"/>
        <w:spacing w:line="560" w:lineRule="exact"/>
        <w:ind w:firstLine="420" w:firstLineChars="200"/>
        <w:rPr>
          <w:rFonts w:hint="default"/>
          <w:color w:val="auto"/>
        </w:rPr>
      </w:pP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一、2021年国民经济和社会发展计划执行情况</w:t>
      </w:r>
    </w:p>
    <w:p>
      <w:pPr>
        <w:pStyle w:val="3"/>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2021年是二七区发展史上极不平凡的一年。从上半年经济强势复苏，到</w:t>
      </w:r>
      <w:r>
        <w:rPr>
          <w:rFonts w:hint="eastAsia" w:ascii="Times New Roman" w:hAnsi="Times New Roman" w:eastAsia="仿宋_GB2312" w:cs="Times New Roman"/>
          <w:color w:val="auto"/>
          <w:sz w:val="32"/>
          <w:szCs w:val="32"/>
          <w:lang w:eastAsia="zh-CN"/>
        </w:rPr>
        <w:t>7·20</w:t>
      </w:r>
      <w:r>
        <w:rPr>
          <w:rFonts w:hint="default" w:ascii="Times New Roman" w:hAnsi="Times New Roman" w:eastAsia="仿宋_GB2312" w:cs="Times New Roman"/>
          <w:color w:val="auto"/>
          <w:sz w:val="32"/>
          <w:szCs w:val="32"/>
        </w:rPr>
        <w:t>特大暴雨灾害、8月德尔塔病毒疫情大封控，经济社会发展遭遇了极其复杂严峻、艰辛沉重的困难。尽管如此，在习近平总书记和党中央、国务院的亲切关怀下，在省委省政府和市委市政府的坚强领导下，区委区政府团结带领全区党员干部和人民群众，奋力在艰辛艰难中负重拼搏，在困难困境中勇毅前行，克服了一个又一个重大难题；战胜了一起又一起重大风险；经受住了一次又一次重大考验，夺取了救灾、抗疫斗争的重大阶段性胜利，全区经济持续回稳向好、人民群众生产生活秩序全面恢复，社会大局保持安全稳定。2021年，地区生产总值达到784.23亿元，同比增长1.3%。</w:t>
      </w:r>
    </w:p>
    <w:p>
      <w:pPr>
        <w:pStyle w:val="3"/>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kern w:val="2"/>
          <w:sz w:val="32"/>
          <w:szCs w:val="32"/>
          <w:lang w:val="en-US" w:eastAsia="zh-CN" w:bidi="ar-SA"/>
        </w:rPr>
        <w:t>（一）全力开展防汛救灾和灾后恢复重建，群众生产生活保障持续巩固。</w:t>
      </w:r>
      <w:r>
        <w:rPr>
          <w:rFonts w:hint="eastAsia" w:ascii="Times New Roman" w:hAnsi="Times New Roman" w:eastAsia="仿宋_GB2312" w:cs="Times New Roman"/>
          <w:color w:val="auto"/>
          <w:sz w:val="32"/>
          <w:szCs w:val="32"/>
          <w:lang w:eastAsia="zh-CN"/>
        </w:rPr>
        <w:t>7·20</w:t>
      </w:r>
      <w:r>
        <w:rPr>
          <w:rFonts w:hint="default" w:ascii="Times New Roman" w:hAnsi="Times New Roman" w:eastAsia="仿宋_GB2312" w:cs="Times New Roman"/>
          <w:color w:val="auto"/>
          <w:sz w:val="32"/>
          <w:szCs w:val="32"/>
        </w:rPr>
        <w:t>郑州特大暴雨灾害以来，我区作为市内五区唯一极重灾区，第一时间成立了书记、区长担任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双组长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的区特大暴雨灾害灾后恢复重建工作领导小组，组建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1办、11组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工作专班，统筹推进灾后恢复重建工作。出台《二七区加快恢复重建十大政策措施》等系列政策措施。</w:t>
      </w:r>
      <w:r>
        <w:rPr>
          <w:rFonts w:hint="default" w:ascii="Times New Roman" w:hAnsi="Times New Roman" w:eastAsia="仿宋_GB2312" w:cs="Times New Roman"/>
          <w:b/>
          <w:color w:val="auto"/>
          <w:sz w:val="32"/>
          <w:szCs w:val="32"/>
        </w:rPr>
        <w:t>加快实施灾后恢复重建项目。</w:t>
      </w:r>
      <w:r>
        <w:rPr>
          <w:rFonts w:hint="default" w:ascii="Times New Roman" w:hAnsi="Times New Roman" w:eastAsia="仿宋_GB2312" w:cs="Times New Roman"/>
          <w:color w:val="auto"/>
          <w:sz w:val="32"/>
          <w:szCs w:val="32"/>
        </w:rPr>
        <w:t>全区共谋划修复重建项目3</w:t>
      </w:r>
      <w:r>
        <w:rPr>
          <w:rFonts w:hint="eastAsia" w:ascii="Times New Roman" w:hAnsi="Times New Roman" w:eastAsia="仿宋_GB2312" w:cs="Times New Roman"/>
          <w:color w:val="auto"/>
          <w:sz w:val="32"/>
          <w:szCs w:val="32"/>
          <w:lang w:val="en-US" w:eastAsia="zh-CN"/>
        </w:rPr>
        <w:t>56</w:t>
      </w:r>
      <w:r>
        <w:rPr>
          <w:rFonts w:hint="default" w:ascii="Times New Roman" w:hAnsi="Times New Roman" w:eastAsia="仿宋_GB2312" w:cs="Times New Roman"/>
          <w:color w:val="auto"/>
          <w:sz w:val="32"/>
          <w:szCs w:val="32"/>
        </w:rPr>
        <w:t>个，截止到2021年底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累计开工281个，</w:t>
      </w:r>
      <w:r>
        <w:rPr>
          <w:rFonts w:hint="eastAsia" w:ascii="Times New Roman" w:hAnsi="Times New Roman" w:eastAsia="仿宋_GB2312" w:cs="Times New Roman"/>
          <w:color w:val="auto"/>
          <w:sz w:val="32"/>
          <w:szCs w:val="32"/>
          <w:lang w:val="en-US" w:eastAsia="zh-CN"/>
        </w:rPr>
        <w:t>累计</w:t>
      </w:r>
      <w:r>
        <w:rPr>
          <w:rFonts w:hint="default" w:ascii="Times New Roman" w:hAnsi="Times New Roman" w:eastAsia="仿宋_GB2312" w:cs="Times New Roman"/>
          <w:color w:val="auto"/>
          <w:sz w:val="32"/>
          <w:szCs w:val="32"/>
        </w:rPr>
        <w:t>完工261个</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筹集各级各类救灾资金保障灾后恢复重建快速推进。</w:t>
      </w:r>
    </w:p>
    <w:p>
      <w:pPr>
        <w:pStyle w:val="8"/>
        <w:keepNext w:val="0"/>
        <w:keepLines w:val="0"/>
        <w:pageBreakBefore w:val="0"/>
        <w:widowControl w:val="0"/>
        <w:kinsoku/>
        <w:wordWrap/>
        <w:overflowPunct w:val="0"/>
        <w:topLinePunct w:val="0"/>
        <w:autoSpaceDE w:val="0"/>
        <w:autoSpaceDN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color w:val="auto"/>
          <w:kern w:val="2"/>
          <w:sz w:val="32"/>
          <w:szCs w:val="32"/>
          <w:lang w:val="en-US" w:eastAsia="zh-CN" w:bidi="ar-SA"/>
        </w:rPr>
        <w:t>（二）全面加快产业结构转型步伐，经济综合竞争力持续增强。</w:t>
      </w:r>
      <w:r>
        <w:rPr>
          <w:rFonts w:hint="default" w:ascii="Times New Roman" w:hAnsi="Times New Roman" w:eastAsia="仿宋_GB2312" w:cs="Times New Roman"/>
          <w:b/>
          <w:color w:val="auto"/>
          <w:sz w:val="32"/>
          <w:szCs w:val="32"/>
        </w:rPr>
        <w:t>一是项目建设顺利推进。</w:t>
      </w:r>
      <w:r>
        <w:rPr>
          <w:rFonts w:hint="default" w:ascii="Times New Roman" w:hAnsi="Times New Roman" w:eastAsia="仿宋_GB2312" w:cs="Times New Roman"/>
          <w:color w:val="auto"/>
          <w:kern w:val="2"/>
          <w:sz w:val="32"/>
          <w:szCs w:val="32"/>
          <w:lang w:val="en-US" w:eastAsia="zh-CN" w:bidi="ar-SA"/>
        </w:rPr>
        <w:t>2021年，全区共谋划推进重大项目270个，全年累计完成投资375.1亿元；省市重点项目涉及的96项联审联批任务全部完成，审批完成率100%。深国际北方区域总部智慧港、中凯（郑州）冷鲜食品产业园、峰璟大厦、保利云瑞苑等项目顺利开工建设。二七商圈核心板块整体城市设计和交通、地下空间专项规划已通过市规委会审核，配套规划设计方案正在修改完善，二七广场隧道工程进入全面冲刺阶段。健康产业核心板块城市设计成果完成固化，控规方案已通过市政府联审联批会审查，已建立总设计师制度。</w:t>
      </w:r>
      <w:r>
        <w:rPr>
          <w:rFonts w:hint="default" w:ascii="Times New Roman" w:hAnsi="Times New Roman" w:eastAsia="仿宋_GB2312" w:cs="Times New Roman"/>
          <w:b/>
          <w:color w:val="auto"/>
          <w:sz w:val="32"/>
          <w:szCs w:val="32"/>
        </w:rPr>
        <w:t>二是</w:t>
      </w:r>
      <w:r>
        <w:rPr>
          <w:rFonts w:hint="default" w:ascii="Times New Roman" w:hAnsi="Times New Roman" w:eastAsia="仿宋_GB2312" w:cs="Times New Roman"/>
          <w:b/>
          <w:bCs/>
          <w:color w:val="auto"/>
          <w:sz w:val="32"/>
          <w:szCs w:val="32"/>
        </w:rPr>
        <w:t>招商引资工作成效显著。</w:t>
      </w:r>
      <w:r>
        <w:rPr>
          <w:rFonts w:hint="default" w:ascii="Times New Roman" w:hAnsi="Times New Roman" w:eastAsia="仿宋_GB2312" w:cs="Times New Roman"/>
          <w:color w:val="auto"/>
          <w:kern w:val="2"/>
          <w:sz w:val="32"/>
          <w:szCs w:val="32"/>
          <w:lang w:val="en-US" w:eastAsia="zh-CN" w:bidi="ar-SA"/>
        </w:rPr>
        <w:t>深入开展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链长制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招商、精准招商，盯紧京津冀、长三角、珠三角重点区域，将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一号产业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、先进制造业、战略</w:t>
      </w:r>
      <w:r>
        <w:rPr>
          <w:rFonts w:hint="eastAsia" w:ascii="Times New Roman" w:hAnsi="Times New Roman" w:eastAsia="仿宋_GB2312" w:cs="Times New Roman"/>
          <w:color w:val="auto"/>
          <w:kern w:val="2"/>
          <w:sz w:val="32"/>
          <w:szCs w:val="32"/>
          <w:lang w:val="en-US" w:eastAsia="zh-CN" w:bidi="ar-SA"/>
        </w:rPr>
        <w:t>性</w:t>
      </w:r>
      <w:r>
        <w:rPr>
          <w:rFonts w:hint="default" w:ascii="Times New Roman" w:hAnsi="Times New Roman" w:eastAsia="仿宋_GB2312" w:cs="Times New Roman"/>
          <w:color w:val="auto"/>
          <w:kern w:val="2"/>
          <w:sz w:val="32"/>
          <w:szCs w:val="32"/>
          <w:lang w:val="en-US" w:eastAsia="zh-CN" w:bidi="ar-SA"/>
        </w:rPr>
        <w:t>新兴产业等作为招商重点，开展13次招商活动，对接46家企业，签约奥克斯电气设备产业园、电建智慧创新城等15个重大产业项目。</w:t>
      </w:r>
      <w:r>
        <w:rPr>
          <w:rFonts w:hint="default" w:ascii="Times New Roman" w:hAnsi="Times New Roman" w:eastAsia="仿宋_GB2312" w:cs="Times New Roman"/>
          <w:b/>
          <w:color w:val="auto"/>
          <w:sz w:val="32"/>
          <w:szCs w:val="32"/>
        </w:rPr>
        <w:t>三是</w:t>
      </w:r>
      <w:r>
        <w:rPr>
          <w:rFonts w:hint="default" w:ascii="Times New Roman" w:hAnsi="Times New Roman" w:eastAsia="仿宋_GB2312" w:cs="Times New Roman"/>
          <w:b/>
          <w:bCs/>
          <w:color w:val="auto"/>
          <w:sz w:val="32"/>
          <w:szCs w:val="32"/>
        </w:rPr>
        <w:t>产业培育不断升级。制造业转型升级步伐加快。</w:t>
      </w:r>
      <w:r>
        <w:rPr>
          <w:rFonts w:hint="default" w:ascii="Times New Roman" w:hAnsi="Times New Roman" w:eastAsia="仿宋_GB2312" w:cs="Times New Roman"/>
          <w:color w:val="auto"/>
          <w:kern w:val="2"/>
          <w:sz w:val="32"/>
          <w:szCs w:val="32"/>
          <w:lang w:val="en-US" w:eastAsia="zh-CN" w:bidi="ar-SA"/>
        </w:rPr>
        <w:t>河南中沃消防科技有限公司等7家企业被认定为2021年度河南省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专精特新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中小企业，郑州启阳工控技术有限公司等18家企业被认定为市级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专精特新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中小企业；河南豫乾技术转移服务平台被工业和信息化部认定为国家中小企业公共服务示范平台；郑航孵化器等2家企业被认定为2021年度河南省创业创新示范基地；中物科技园服务平台等4家企业被认定为郑州市中小企业公共服务平台和小型微型创业创新示范基地。小微企业园建设加速推进，中物、郑投一期2个小微企业园竣工。</w:t>
      </w:r>
      <w:r>
        <w:rPr>
          <w:rFonts w:hint="default" w:ascii="Times New Roman" w:hAnsi="Times New Roman" w:eastAsia="仿宋_GB2312" w:cs="Times New Roman"/>
          <w:b/>
          <w:bCs/>
          <w:color w:val="auto"/>
          <w:kern w:val="2"/>
          <w:sz w:val="32"/>
          <w:szCs w:val="32"/>
        </w:rPr>
        <w:t>现代商贸业稳步恢复。</w:t>
      </w:r>
      <w:r>
        <w:rPr>
          <w:rFonts w:hint="default" w:ascii="Times New Roman" w:hAnsi="Times New Roman" w:eastAsia="仿宋_GB2312" w:cs="Times New Roman"/>
          <w:color w:val="auto"/>
          <w:kern w:val="2"/>
          <w:sz w:val="32"/>
          <w:szCs w:val="32"/>
          <w:lang w:val="en-US" w:eastAsia="zh-CN" w:bidi="ar-SA"/>
        </w:rPr>
        <w:t>国家级步行街创建扎实推进，加快智慧街区建设。鼓励大型商业综合体、规模商超等企业结合自身实际情况搞好促消费活动，重点围绕五一劳动节、五四青年节、中秋、国庆等传统消费旺季，鼓励辖区大型商超、汽车、餐饮、家电、家居、成品油等领域企业，结合</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2021年全国消费促进月活动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开展形式多样的促消费活动75余次，组织重点商圈、特色商业街和电商平台、行业协会，统一开展消费券发放、购车返现、网购补贴、直播带货、特色消费节等系列促消费活动，助力企业灾后重建和市场恢复，促进辖区消费市场快速回暖。康桥悦生活服务集团有限公司在香港证券交易所上市。</w:t>
      </w:r>
      <w:r>
        <w:rPr>
          <w:rFonts w:hint="default" w:ascii="Times New Roman" w:hAnsi="Times New Roman" w:eastAsia="仿宋_GB2312" w:cs="Times New Roman"/>
          <w:b/>
          <w:bCs/>
          <w:color w:val="auto"/>
          <w:kern w:val="2"/>
          <w:sz w:val="32"/>
          <w:szCs w:val="32"/>
        </w:rPr>
        <w:t>文旅</w:t>
      </w:r>
      <w:r>
        <w:rPr>
          <w:rFonts w:hint="default" w:ascii="Times New Roman" w:hAnsi="Times New Roman" w:eastAsia="仿宋_GB2312" w:cs="Times New Roman"/>
          <w:b/>
          <w:bCs/>
          <w:color w:val="auto"/>
          <w:sz w:val="32"/>
          <w:szCs w:val="32"/>
        </w:rPr>
        <w:t>康养业蓬勃发展</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二七纪念堂保护提升及陈列布展项目建成开馆。德化步行街被认定首批省级旅游休闲街区，马寨镇申河社区申家大院被评为河南省休闲观光园区，侯寨乡桐树洼社区、马寨镇申河社区被评为河南省乡村旅游特色村。成功举办十五届樱桃文化节，</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五一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假日期间共接待游客74.67万人次，位居全省游客接待量第一。新签约仲景医药健康产业园、东方医院康养综合体专科医院等康养产业项目。</w:t>
      </w:r>
      <w:r>
        <w:rPr>
          <w:rFonts w:hint="default" w:ascii="Times New Roman" w:hAnsi="Times New Roman" w:eastAsia="仿宋_GB2312" w:cs="Times New Roman"/>
          <w:b/>
          <w:bCs/>
          <w:color w:val="auto"/>
          <w:kern w:val="2"/>
          <w:sz w:val="32"/>
          <w:szCs w:val="32"/>
        </w:rPr>
        <w:t>楼宇经济加速发展，</w:t>
      </w:r>
      <w:r>
        <w:rPr>
          <w:rFonts w:hint="default" w:ascii="Times New Roman" w:hAnsi="Times New Roman" w:eastAsia="仿宋_GB2312" w:cs="Times New Roman"/>
          <w:color w:val="auto"/>
          <w:kern w:val="2"/>
          <w:sz w:val="32"/>
          <w:szCs w:val="32"/>
          <w:lang w:val="en-US" w:eastAsia="zh-CN" w:bidi="ar-SA"/>
        </w:rPr>
        <w:t>聚焦头部企业引进，加快盘活楼宇闲置资产，全区税收超百万楼宇22栋，超千万24栋，超亿元楼宇1栋。</w:t>
      </w:r>
      <w:r>
        <w:rPr>
          <w:rFonts w:hint="default" w:ascii="Times New Roman" w:hAnsi="Times New Roman" w:eastAsia="仿宋_GB2312" w:cs="Times New Roman"/>
          <w:b/>
          <w:bCs/>
          <w:color w:val="auto"/>
          <w:kern w:val="2"/>
          <w:sz w:val="32"/>
          <w:szCs w:val="32"/>
        </w:rPr>
        <w:t>电子商务加快发展，</w:t>
      </w:r>
      <w:r>
        <w:rPr>
          <w:rFonts w:hint="default" w:ascii="Times New Roman" w:hAnsi="Times New Roman" w:eastAsia="仿宋_GB2312" w:cs="Times New Roman"/>
          <w:color w:val="auto"/>
          <w:kern w:val="2"/>
          <w:sz w:val="32"/>
          <w:szCs w:val="32"/>
          <w:lang w:val="en-US" w:eastAsia="zh-CN" w:bidi="ar-SA"/>
        </w:rPr>
        <w:t>郑投科技创新园被授予</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河南省电子商务示范基地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，致欧科技智能海外仓、中商建投盈合项目在第五届全球跨境电商大会上代表全省签约，全区跨境电子商务进出口4.75亿美元。</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rPr>
        <w:t>（三）全方位释放区域发展活力，发展要素和</w:t>
      </w:r>
      <w:r>
        <w:rPr>
          <w:rFonts w:hint="default" w:ascii="Times New Roman" w:hAnsi="Times New Roman" w:eastAsia="楷体_GB2312" w:cs="Times New Roman"/>
          <w:color w:val="auto"/>
          <w:sz w:val="32"/>
          <w:szCs w:val="32"/>
          <w:lang w:val="en-US" w:eastAsia="zh-CN"/>
        </w:rPr>
        <w:t>营商</w:t>
      </w:r>
      <w:r>
        <w:rPr>
          <w:rFonts w:hint="default" w:ascii="Times New Roman" w:hAnsi="Times New Roman" w:eastAsia="楷体_GB2312" w:cs="Times New Roman"/>
          <w:color w:val="auto"/>
          <w:sz w:val="32"/>
          <w:szCs w:val="32"/>
        </w:rPr>
        <w:t>环境持续优化。</w:t>
      </w:r>
      <w:r>
        <w:rPr>
          <w:rFonts w:hint="default" w:ascii="Times New Roman" w:hAnsi="Times New Roman" w:eastAsia="仿宋_GB2312" w:cs="Times New Roman"/>
          <w:b/>
          <w:color w:val="auto"/>
          <w:sz w:val="32"/>
          <w:szCs w:val="32"/>
        </w:rPr>
        <w:t>一是科技创新深入推进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lang w:val="en-US" w:eastAsia="zh-CN" w:bidi="ar-SA"/>
        </w:rPr>
        <w:t>推荐1家国家级孵化器、1家国家级众创空间，均通过评审公示。新增省级科技企业孵化器2家、市级科技企业孵化器3家、市级众创空间2家，新增市级以上创新载体在孵企业、毕业企业120家。大力扶持培育科技型企业、高新技术企业，高新技术企业后备库企业110家，认定郑州市科技型企业97家。完成登记技术合同及有效储备量共计571项，合同成交额共计139505.67万元。聚焦科技人才引育，出台二七区人才新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二十二条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，建立二七区创新创业团队项目备选库，已完成入库企业3家、引进人才15名。</w:t>
      </w:r>
      <w:r>
        <w:rPr>
          <w:rFonts w:hint="default" w:ascii="Times New Roman" w:hAnsi="Times New Roman" w:eastAsia="仿宋_GB2312" w:cs="Times New Roman"/>
          <w:b/>
          <w:bCs/>
          <w:color w:val="auto"/>
          <w:sz w:val="32"/>
          <w:szCs w:val="32"/>
        </w:rPr>
        <w:t>二是营商环</w:t>
      </w:r>
      <w:r>
        <w:rPr>
          <w:rFonts w:hint="default" w:ascii="Times New Roman" w:hAnsi="Times New Roman" w:eastAsia="仿宋_GB2312" w:cs="Times New Roman"/>
          <w:b/>
          <w:color w:val="auto"/>
          <w:sz w:val="32"/>
          <w:szCs w:val="32"/>
        </w:rPr>
        <w:t>境持续优化</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一网通办、一次办成</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政务服务改革扎实推进，全区31个部门1174项事项全部录入河南政务服务网，实现了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应上尽上，全程在线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。全区11</w:t>
      </w:r>
      <w:r>
        <w:rPr>
          <w:rFonts w:hint="eastAsia" w:ascii="Times New Roman" w:hAnsi="Times New Roman" w:eastAsia="仿宋_GB2312" w:cs="Times New Roman"/>
          <w:color w:val="auto"/>
          <w:kern w:val="2"/>
          <w:sz w:val="32"/>
          <w:szCs w:val="32"/>
          <w:lang w:val="en-US" w:eastAsia="zh-CN" w:bidi="ar-SA"/>
        </w:rPr>
        <w:t>70</w:t>
      </w:r>
      <w:r>
        <w:rPr>
          <w:rFonts w:hint="default" w:ascii="Times New Roman" w:hAnsi="Times New Roman" w:eastAsia="仿宋_GB2312" w:cs="Times New Roman"/>
          <w:color w:val="auto"/>
          <w:kern w:val="2"/>
          <w:sz w:val="32"/>
          <w:szCs w:val="32"/>
          <w:lang w:val="en-US" w:eastAsia="zh-CN" w:bidi="ar-SA"/>
        </w:rPr>
        <w:t>个事项实现了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不见面审批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（占比99.57%），即办事项达64</w:t>
      </w: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项（占比55.1%），承诺时限比法定时限压缩了88.4</w:t>
      </w: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%。实现118个事项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跨省通办</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，累计办理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跨省通办</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事项5000余件。推进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一件事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改革，老年人优待证等23个事项上线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郑好办</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二七分厅</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一件事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专区。信用体系建设工作稳步推进，加强信用名单制度，对在救灾和疫情防控中做出突出贡献的企业进行表彰，分别认定列入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郑州市疫情防控工作社会信用红榜名单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企业58家，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郑州市防汛救灾工作社会信用红榜名单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企业200家。</w:t>
      </w:r>
      <w:r>
        <w:rPr>
          <w:rFonts w:hint="default" w:ascii="Times New Roman" w:hAnsi="Times New Roman" w:eastAsia="仿宋_GB2312" w:cs="Times New Roman"/>
          <w:b/>
          <w:bCs/>
          <w:color w:val="auto"/>
          <w:sz w:val="32"/>
          <w:szCs w:val="32"/>
        </w:rPr>
        <w:t>三是全区深入开展</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万人助万企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活动。</w:t>
      </w:r>
      <w:r>
        <w:rPr>
          <w:rFonts w:hint="default" w:ascii="Times New Roman" w:hAnsi="Times New Roman" w:eastAsia="仿宋_GB2312" w:cs="Times New Roman"/>
          <w:color w:val="auto"/>
          <w:kern w:val="2"/>
          <w:sz w:val="32"/>
          <w:szCs w:val="32"/>
          <w:lang w:val="en-US" w:eastAsia="zh-CN" w:bidi="ar-SA"/>
        </w:rPr>
        <w:t>全区26个单位抽调干部101人组建了15个工作组，服务包联全区751家企业、102个重点项目，做到</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四上</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企业全覆盖。自活动开展以来，累计召开企业座谈会268次，收集问题525个，现场解决政策支持等共性问题515个。</w:t>
      </w:r>
    </w:p>
    <w:p>
      <w:pPr>
        <w:keepNext w:val="0"/>
        <w:keepLines w:val="0"/>
        <w:pageBreakBefore w:val="0"/>
        <w:widowControl w:val="0"/>
        <w:tabs>
          <w:tab w:val="left" w:pos="1758"/>
        </w:tabs>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color w:val="auto"/>
          <w:sz w:val="32"/>
          <w:szCs w:val="32"/>
        </w:rPr>
        <w:t>（四）统筹推进城市功能完善，全域品质风貌整体持续提升。</w:t>
      </w:r>
      <w:r>
        <w:rPr>
          <w:rFonts w:hint="default" w:ascii="Times New Roman" w:hAnsi="Times New Roman" w:eastAsia="仿宋_GB2312" w:cs="Times New Roman"/>
          <w:b/>
          <w:bCs/>
          <w:color w:val="auto"/>
          <w:kern w:val="2"/>
          <w:sz w:val="32"/>
          <w:szCs w:val="32"/>
          <w:lang w:val="en-US" w:eastAsia="zh-CN" w:bidi="ar-SA"/>
        </w:rPr>
        <w:t>一是城市</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双改</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工作稳步推进。</w:t>
      </w:r>
      <w:r>
        <w:rPr>
          <w:rFonts w:hint="default" w:ascii="Times New Roman" w:hAnsi="Times New Roman" w:eastAsia="仿宋_GB2312" w:cs="Times New Roman"/>
          <w:color w:val="auto"/>
          <w:kern w:val="2"/>
          <w:sz w:val="32"/>
          <w:szCs w:val="32"/>
          <w:lang w:val="en-US" w:eastAsia="zh-CN" w:bidi="ar-SA"/>
        </w:rPr>
        <w:t>城市道路综合改造一、二期工程6条道路改造全长31.8公里圆满完工，三期工程3条道路13.17公里已基本完工，15条区管道路升级改造工程已完成11条。老旧小区改造稳步推进，完成加装电梯30部，引入亚新、正美等红色物业企业，截止目前，100个小区实现专业化物业管理。城乡结合部面貌焕然一新，樱桃沟南部田园区、金水源郭家咀片区、马寨凤湖智能新区片区、侯寨滨河花园片区4个示范片区齐发力，成功打造樱桃沟陈顶村为示范点。构建大城管工作机制，建立</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四化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常态管理+专项整治的管理模式。对建设路、大学路等9条重点路段和淮园、火车站西广场2个节点共约16.8公里进行亮化提升。全区共新建公共停车泊位8331个，其中公共配建停车泊位2923个，独立运营停车泊位4688个，平面临时停车泊位720个，完成市定目标任务的128%，切实有效解决辖区群众停车难问题。</w:t>
      </w:r>
      <w:r>
        <w:rPr>
          <w:rFonts w:hint="default" w:ascii="Times New Roman" w:hAnsi="Times New Roman" w:eastAsia="仿宋_GB2312" w:cs="Times New Roman"/>
          <w:b/>
          <w:bCs/>
          <w:color w:val="auto"/>
          <w:sz w:val="32"/>
          <w:szCs w:val="32"/>
        </w:rPr>
        <w:t>二是生态环境显著改善。</w:t>
      </w:r>
      <w:r>
        <w:rPr>
          <w:rFonts w:hint="default" w:ascii="Times New Roman" w:hAnsi="Times New Roman" w:eastAsia="仿宋_GB2312" w:cs="Times New Roman"/>
          <w:color w:val="auto"/>
          <w:kern w:val="2"/>
          <w:sz w:val="32"/>
          <w:szCs w:val="32"/>
          <w:lang w:val="en-US" w:eastAsia="zh-CN" w:bidi="ar-SA"/>
        </w:rPr>
        <w:t>大力实施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治气、治水、治土、治废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四大行动，坚持减污降碳、协同推进，截至12月底，PM2.5年均浓度42微克/立方米，PM10年均浓度74微克/立方米，NO2年均浓度35微克/立方米，优良天数24</w:t>
      </w: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天，均完成年度目标任务。今年1-5月尖岗水库国控断面水质持续达标Ⅰ类，6-12月份为II类，水质稳定达标（目标Ⅲ类水质标准）。土壤污染防治稳步推进。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rPr>
        <w:t>（五）全面加快社会事业稳妥发展，民生福祉持续改善。</w:t>
      </w:r>
      <w:r>
        <w:rPr>
          <w:rFonts w:hint="default" w:ascii="Times New Roman" w:hAnsi="Times New Roman" w:eastAsia="仿宋_GB2312" w:cs="Times New Roman"/>
          <w:b/>
          <w:color w:val="auto"/>
          <w:sz w:val="32"/>
          <w:szCs w:val="32"/>
        </w:rPr>
        <w:t>一是就业形势总体向好。</w:t>
      </w:r>
      <w:r>
        <w:rPr>
          <w:rFonts w:hint="default" w:ascii="Times New Roman" w:hAnsi="Times New Roman" w:eastAsia="仿宋_GB2312" w:cs="Times New Roman"/>
          <w:color w:val="auto"/>
          <w:kern w:val="2"/>
          <w:sz w:val="32"/>
          <w:szCs w:val="32"/>
          <w:lang w:val="en-US" w:eastAsia="zh-CN" w:bidi="ar-SA"/>
        </w:rPr>
        <w:t>组成</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二七区就业创业政策宣讲团</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，依托</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春风行动</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金秋招聘月</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民营企业招聘周</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等招聘会以及社区基层服务平台，全区实现城镇新增就业21135人，农村劳动力转移就业115人，农民工返乡创业366人。</w:t>
      </w:r>
      <w:r>
        <w:rPr>
          <w:rFonts w:hint="default" w:ascii="Times New Roman" w:hAnsi="Times New Roman" w:eastAsia="仿宋_GB2312" w:cs="Times New Roman"/>
          <w:b/>
          <w:color w:val="auto"/>
          <w:sz w:val="32"/>
          <w:szCs w:val="32"/>
        </w:rPr>
        <w:t>二是教育事业全面发展。</w:t>
      </w:r>
      <w:r>
        <w:rPr>
          <w:rFonts w:hint="default" w:ascii="Times New Roman" w:hAnsi="Times New Roman" w:eastAsia="仿宋_GB2312" w:cs="Times New Roman"/>
          <w:color w:val="auto"/>
          <w:kern w:val="2"/>
          <w:sz w:val="32"/>
          <w:szCs w:val="32"/>
          <w:lang w:val="en-US" w:eastAsia="zh-CN" w:bidi="ar-SA"/>
        </w:rPr>
        <w:t>突出公办园、普惠园主体地位，不断加大学前教育投入，大力发展公办园和普惠园，回收小区配套幼儿园17所。新开工2所、投入使用3所中小学建设任务已如期完成。推进集团化办学，今年新投入使用的中小学校纳入陇西小学等教育集团管理。全区85所中小学实现午餐供餐全覆盖，受益学生45453人，参与课后延时服务学生达到76486人。</w:t>
      </w:r>
      <w:r>
        <w:rPr>
          <w:rFonts w:hint="default" w:ascii="Times New Roman" w:hAnsi="Times New Roman" w:eastAsia="仿宋_GB2312" w:cs="Times New Roman"/>
          <w:b/>
          <w:bCs/>
          <w:color w:val="auto"/>
          <w:sz w:val="32"/>
          <w:szCs w:val="32"/>
        </w:rPr>
        <w:t>三是文化事业快速发展。</w:t>
      </w:r>
      <w:r>
        <w:rPr>
          <w:rFonts w:hint="default" w:ascii="Times New Roman" w:hAnsi="Times New Roman" w:eastAsia="仿宋_GB2312" w:cs="Times New Roman"/>
          <w:color w:val="auto"/>
          <w:kern w:val="2"/>
          <w:sz w:val="32"/>
          <w:szCs w:val="32"/>
          <w:lang w:val="en-US" w:eastAsia="zh-CN" w:bidi="ar-SA"/>
        </w:rPr>
        <w:t>改扩建蜜蜂张街道和平新村社区、樱桃沟管委会大路西社区等11个综合性文化服务中心，全区社区综合性文化服务中心实现全覆盖全达标。大力开展群众公益文体活动，共开展公益演出、公益培训153场（次），深挖红色文旅资源，成功开发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二七精神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红色文化旅游线路，开展公益演出、公益美术、合唱、舞蹈等公益培训118场（次）。以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二七精神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为引领，编排红色话剧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二七风暴</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创作原创红色话剧《二七塔下》。</w:t>
      </w:r>
      <w:r>
        <w:rPr>
          <w:rFonts w:hint="default" w:ascii="Times New Roman" w:hAnsi="Times New Roman" w:eastAsia="仿宋_GB2312" w:cs="Times New Roman"/>
          <w:b/>
          <w:bCs/>
          <w:color w:val="auto"/>
          <w:sz w:val="32"/>
          <w:szCs w:val="32"/>
        </w:rPr>
        <w:t>四是养老事业蓬勃发展。</w:t>
      </w:r>
      <w:r>
        <w:rPr>
          <w:rFonts w:hint="default" w:ascii="Times New Roman" w:hAnsi="Times New Roman" w:eastAsia="仿宋_GB2312" w:cs="Times New Roman"/>
          <w:color w:val="auto"/>
          <w:kern w:val="2"/>
          <w:sz w:val="32"/>
          <w:szCs w:val="32"/>
          <w:lang w:val="en-US" w:eastAsia="zh-CN" w:bidi="ar-SA"/>
        </w:rPr>
        <w:t>建成街道养老服务中心、社区日间照料中心115处，覆盖92%的城市社区。打造中央配餐中心2个，社区小厨房52个，能够满足1.3万老年人的就餐需求。为15009位80岁以上老人发放高龄津贴1023.62万元。</w:t>
      </w:r>
      <w:r>
        <w:rPr>
          <w:rFonts w:hint="default" w:ascii="Times New Roman" w:hAnsi="Times New Roman" w:eastAsia="仿宋_GB2312" w:cs="Times New Roman"/>
          <w:b/>
          <w:bCs/>
          <w:color w:val="auto"/>
          <w:sz w:val="32"/>
          <w:szCs w:val="32"/>
        </w:rPr>
        <w:t>五是健康卫生工作稳步推进。</w:t>
      </w:r>
      <w:r>
        <w:rPr>
          <w:rFonts w:hint="default" w:ascii="Times New Roman" w:hAnsi="Times New Roman" w:eastAsia="仿宋_GB2312" w:cs="Times New Roman"/>
          <w:color w:val="auto"/>
          <w:kern w:val="2"/>
          <w:sz w:val="32"/>
          <w:szCs w:val="32"/>
          <w:lang w:val="en-US" w:eastAsia="zh-CN" w:bidi="ar-SA"/>
        </w:rPr>
        <w:t>持续深化医药卫生体制改革，全面提升医疗服务质量。稳步推进医养结合机构创建工作，新增郑大五附院福华颐养院、二七大同中医院、长江路社区卫生服务中心3家医养结合机构。全区在管的高血压、糖尿病等重点人群实现家庭医生签约服务全覆盖。推进基层医疗卫生机构中医药服务示范化建设，侯寨乡卫生院荣获省级示范中医馆，嵩山路、人和路社区卫生服务中心、侯寨卫生院三家荣获郑州市示范中医馆。疫情防控工作扎实开展，截止到2021年12月31日，共计接种新冠疫苗2143366剂次。</w:t>
      </w:r>
      <w:r>
        <w:rPr>
          <w:rFonts w:hint="eastAsia" w:ascii="Times New Roman" w:hAnsi="Times New Roman" w:eastAsia="仿宋_GB2312" w:cs="Times New Roman"/>
          <w:b/>
          <w:bCs/>
          <w:color w:val="auto"/>
          <w:kern w:val="2"/>
          <w:sz w:val="32"/>
          <w:szCs w:val="32"/>
          <w:lang w:val="en-US" w:eastAsia="zh-CN" w:bidi="ar-SA"/>
        </w:rPr>
        <w:t>六</w:t>
      </w:r>
      <w:r>
        <w:rPr>
          <w:rFonts w:hint="default" w:ascii="Times New Roman" w:hAnsi="Times New Roman" w:eastAsia="仿宋_GB2312" w:cs="Times New Roman"/>
          <w:b/>
          <w:bCs/>
          <w:color w:val="auto"/>
          <w:sz w:val="32"/>
          <w:szCs w:val="32"/>
        </w:rPr>
        <w:t>是社会大局稳定和谐</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常态化落实信访稳定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十大机制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，持续推进生产安全、食品安全等工作，群众安全感幸福感不断提升。</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2021年尽管我们经历和承受了内外部经济发展的强大压力，特别是经历了7</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郑州特大暴雨、疫情防控的重大考验，但是全区上下齐心协力，众志成城，坚持人民至上、生命至上，确保了全区人民生命安全和经济运行稳步恢复。同时，我们也在奋进中清醒的认识到目前全区发展的不足之处，主要表现在：产业发展短板突出，主导产业主而不强，制造业体量数量不足，传统商贸业优势逐渐丧失、竞争力下降，新兴产业培育不足、龙头企业匮乏；营商环境还需进一步提升；新城区产业发展空间不足、基础功能不完善不宜居等问题突出；城市管理、民生领域的短板弱项还需进一步补齐以满足人民对美好生活的需要。</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二、2022年经济社会发展总体要求和主要目标</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val="en-US" w:eastAsia="zh-CN"/>
        </w:rPr>
        <w:t>总体要求：</w:t>
      </w:r>
      <w:r>
        <w:rPr>
          <w:rFonts w:hint="default" w:ascii="Times New Roman" w:hAnsi="Times New Roman" w:eastAsia="仿宋_GB2312" w:cs="Times New Roman"/>
          <w:color w:val="auto"/>
          <w:kern w:val="2"/>
          <w:sz w:val="32"/>
          <w:szCs w:val="32"/>
          <w:lang w:val="en-US" w:eastAsia="zh-CN" w:bidi="ar-SA"/>
        </w:rPr>
        <w:t>高举习近平新时代中国特色社会主义思想伟大旗帜，全面落实总书记关于河南郑州工作的系列重要讲话指示精神和省市</w:t>
      </w:r>
      <w:r>
        <w:rPr>
          <w:rFonts w:hint="eastAsia" w:ascii="Times New Roman" w:hAnsi="Times New Roman" w:eastAsia="仿宋_GB2312" w:cs="Times New Roman"/>
          <w:color w:val="auto"/>
          <w:kern w:val="2"/>
          <w:sz w:val="32"/>
          <w:szCs w:val="32"/>
          <w:lang w:val="en-US" w:eastAsia="zh-CN" w:bidi="ar-SA"/>
        </w:rPr>
        <w:t>区</w:t>
      </w:r>
      <w:r>
        <w:rPr>
          <w:rFonts w:hint="default" w:ascii="Times New Roman" w:hAnsi="Times New Roman" w:eastAsia="仿宋_GB2312" w:cs="Times New Roman"/>
          <w:color w:val="auto"/>
          <w:kern w:val="2"/>
          <w:sz w:val="32"/>
          <w:szCs w:val="32"/>
          <w:lang w:val="en-US" w:eastAsia="zh-CN" w:bidi="ar-SA"/>
        </w:rPr>
        <w:t>委部署，坚持稳字当头、稳中求进、以进促稳，深入把握新发展阶段，完整、准确、全面贯彻新发展理念，锚定“两个确保”“十大战略”，以全面开展“三标”活动为遵循，聚焦建设现代化国际化生态化新城区，深耕“品质二七、田园二七、温暖二七”，加快打造高质量发展示范区、改革创新引领区、中优功能核心区、西美风貌展示区、美好生活样板区、社会治理先行区，推动各项事业发展和党的建设再上新台阶，奋力在郑州国家中心城市提质进位中出重彩、成高峰！</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val="en-US" w:eastAsia="zh-CN"/>
        </w:rPr>
        <w:t>主要预期目标：</w:t>
      </w:r>
      <w:r>
        <w:rPr>
          <w:rFonts w:hint="default" w:ascii="Times New Roman" w:hAnsi="Times New Roman" w:eastAsia="仿宋_GB2312" w:cs="Times New Roman"/>
          <w:color w:val="auto"/>
          <w:kern w:val="2"/>
          <w:sz w:val="32"/>
          <w:szCs w:val="32"/>
          <w:lang w:val="en-US" w:eastAsia="zh-CN" w:bidi="ar-SA"/>
        </w:rPr>
        <w:t>地区生产总值增长7.5%左右，规模以上工业增加值增长9%，固定资产投资增长10%，社会消费品零售总额增长9%，一般公共预算收入增长3%，城乡居民收入与经济增长同步，节能减排、环保等约束性指标完成上级下达任务。</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三、2022年国民经济和社会发展重点工作</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（一）抓好经济运行，</w:t>
      </w:r>
      <w:r>
        <w:rPr>
          <w:rFonts w:hint="default" w:ascii="Times New Roman" w:hAnsi="Times New Roman" w:eastAsia="楷体_GB2312" w:cs="Times New Roman"/>
          <w:color w:val="auto"/>
          <w:sz w:val="32"/>
          <w:szCs w:val="32"/>
          <w:lang w:val="en-US" w:eastAsia="zh-CN"/>
        </w:rPr>
        <w:t>确保</w:t>
      </w:r>
      <w:r>
        <w:rPr>
          <w:rFonts w:hint="default" w:ascii="Times New Roman" w:hAnsi="Times New Roman" w:eastAsia="楷体_GB2312" w:cs="Times New Roman"/>
          <w:color w:val="auto"/>
          <w:sz w:val="32"/>
          <w:szCs w:val="32"/>
        </w:rPr>
        <w:t>经济稳定可持续发展</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_GB2312" w:cs="Times New Roman"/>
          <w:color w:val="auto"/>
          <w:kern w:val="2"/>
          <w:sz w:val="32"/>
          <w:szCs w:val="32"/>
          <w:lang w:val="en-US" w:eastAsia="zh-CN" w:bidi="ar-SA"/>
        </w:rPr>
        <w:t>坚持稳字当头、稳中求进、以进促稳，着力扩大有效投资、多措并举扩内需、千方百计保市场主体，确保经济运行在合理区间。</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一是着力扩大有效投资。</w:t>
      </w:r>
      <w:r>
        <w:rPr>
          <w:rFonts w:hint="default" w:ascii="Times New Roman" w:hAnsi="Times New Roman" w:eastAsia="仿宋_GB2312" w:cs="Times New Roman"/>
          <w:color w:val="auto"/>
          <w:kern w:val="2"/>
          <w:sz w:val="32"/>
          <w:szCs w:val="32"/>
          <w:lang w:val="en-US" w:eastAsia="zh-CN" w:bidi="ar-SA"/>
        </w:rPr>
        <w:t>坚持项目为王，认真落实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153</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工作举措，开展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三个一批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活动，聚焦全区360个1000万元以上重点项目，力争全年项目投资达到4</w:t>
      </w: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0亿元，力争签约项目6个、开工98个、投产108个。强化土地、资金保障，积极推进二七新区、马寨产业集聚区、足球小镇、马寨凤湖智能新区、健康产业核心板块、总部经济等区域的成片开发工作，力争全年实现土地报批800亩、征收1000亩、供应1500亩；用足用好地方政府专项债券，落实完善相关政策</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充分调动民间投资积极性。</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二是着力推动消费持续恢复。</w:t>
      </w:r>
      <w:r>
        <w:rPr>
          <w:rFonts w:hint="default" w:ascii="Times New Roman" w:hAnsi="Times New Roman" w:eastAsia="仿宋_GB2312" w:cs="Times New Roman"/>
          <w:color w:val="auto"/>
          <w:kern w:val="2"/>
          <w:sz w:val="32"/>
          <w:szCs w:val="32"/>
          <w:lang w:val="en-US" w:eastAsia="zh-CN" w:bidi="ar-SA"/>
        </w:rPr>
        <w:t>大力实施促消费计划，紧盯电子商务、跨境电商、智慧零售、智慧物流、直播带货等新业态和新模式，支持致欧网络、海一云商、丝路网红大厦、中部电子商务港等平台加速发展，打造一批引领数字消费的领军企业。抢抓全市“醉美·夜郑州”消费季等系列文化旅游促消费活动</w:t>
      </w:r>
      <w:r>
        <w:rPr>
          <w:rFonts w:hint="eastAsia" w:ascii="Times New Roman" w:hAnsi="Times New Roman" w:eastAsia="仿宋_GB2312" w:cs="Times New Roman"/>
          <w:color w:val="auto"/>
          <w:kern w:val="2"/>
          <w:sz w:val="32"/>
          <w:szCs w:val="32"/>
          <w:lang w:val="en-US" w:eastAsia="zh-CN" w:bidi="ar-SA"/>
        </w:rPr>
        <w:t>，策划一系列促消费活动</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带动消费市场活力。</w:t>
      </w:r>
      <w:r>
        <w:rPr>
          <w:rFonts w:hint="default" w:ascii="Times New Roman" w:hAnsi="Times New Roman" w:eastAsia="仿宋_GB2312" w:cs="Times New Roman"/>
          <w:color w:val="auto"/>
          <w:kern w:val="2"/>
          <w:sz w:val="32"/>
          <w:szCs w:val="32"/>
          <w:lang w:val="en-US" w:eastAsia="zh-CN" w:bidi="ar-SA"/>
        </w:rPr>
        <w:t>结合传统节日、消费旺季，采取政府推动、部门协调、企业主导、市场运作的模式，开展形式多样的促消费活动，进一步释放居民消费潜力。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三是着力稳定市场主体。</w:t>
      </w:r>
      <w:r>
        <w:rPr>
          <w:rFonts w:hint="default" w:ascii="Times New Roman" w:hAnsi="Times New Roman" w:eastAsia="仿宋_GB2312" w:cs="Times New Roman"/>
          <w:color w:val="auto"/>
          <w:kern w:val="2"/>
          <w:sz w:val="32"/>
          <w:szCs w:val="32"/>
          <w:lang w:val="en-US" w:eastAsia="zh-CN" w:bidi="ar-SA"/>
        </w:rPr>
        <w:t>持续开展好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万人助万企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活动，坚持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服务企业就是服务全区工作大局</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，落实惠企政策、帮扶纾困等措施，用足用好8个工作专班，确保全年问题解决率达到96%。积极推进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个转企、小升规、规改股、股上市</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，确保全年完成1</w:t>
      </w: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0户</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个转企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、小升规企业21家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新增四上入库企业150家，尽快推进名扬窗饰、新大方等企业上市，力争致欧科技年底前完成上市。</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（二）抓好产业升级，推动经济提质扩量增效</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落实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145</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工作举措，推进传统产业优势再造、新兴产业重点培育、未来产业谋篇布局，推进全区产业结构转型升级。</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_GB2312" w:cs="Times New Roman"/>
          <w:b/>
          <w:color w:val="auto"/>
          <w:sz w:val="32"/>
          <w:szCs w:val="32"/>
        </w:rPr>
        <w:t>一是推动制造业现代化发展。</w:t>
      </w:r>
      <w:r>
        <w:rPr>
          <w:rFonts w:hint="default" w:ascii="Times New Roman" w:hAnsi="Times New Roman" w:eastAsia="仿宋_GB2312" w:cs="Times New Roman"/>
          <w:color w:val="auto"/>
          <w:kern w:val="2"/>
          <w:sz w:val="32"/>
          <w:szCs w:val="32"/>
          <w:lang w:val="en-US" w:eastAsia="zh-CN" w:bidi="ar-SA"/>
        </w:rPr>
        <w:t>落实开发区体制机制改革，推行</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管委会+公司</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管理模式，加大政策、资金、资源支持力度，助推开发区晋位升级。加强中小微企业培育力度，力争培育市级以上</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专精特新</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企业5家。鼓励支持企业加大技改投入，力争完成</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三大改造</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项目5个，技改投资增长20%以上。力争完成智能化改造项目2个，实现企业上云600家，打造智能车间1家。</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二是推动商贸业壮大发展。</w:t>
      </w:r>
      <w:r>
        <w:rPr>
          <w:rFonts w:hint="default" w:ascii="Times New Roman" w:hAnsi="Times New Roman" w:eastAsia="仿宋_GB2312" w:cs="Times New Roman"/>
          <w:color w:val="auto"/>
          <w:kern w:val="2"/>
          <w:sz w:val="32"/>
          <w:szCs w:val="32"/>
          <w:lang w:val="en-US" w:eastAsia="zh-CN" w:bidi="ar-SA"/>
        </w:rPr>
        <w:t>重点着眼扩大内需、促进消费，系统构建二七商圈、二七万达消费次中心、东方大厦新经济中心、社区商业网点等多层次消费载体，形成功能完善、布局合理、品质高端的现代商贸体系。依托华润大厦、嵩山大厦等84栋商务楼宇，大力发展楼宇经济、总部经济、网红经济，打造新经济发展高地。</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三是推动文旅康养业升级发展。</w:t>
      </w:r>
      <w:r>
        <w:rPr>
          <w:rFonts w:hint="default" w:ascii="Times New Roman" w:hAnsi="Times New Roman" w:eastAsia="仿宋_GB2312" w:cs="Times New Roman"/>
          <w:color w:val="auto"/>
          <w:kern w:val="2"/>
          <w:sz w:val="32"/>
          <w:szCs w:val="32"/>
          <w:lang w:val="en-US" w:eastAsia="zh-CN" w:bidi="ar-SA"/>
        </w:rPr>
        <w:t>主动融入全省文旅文创融合战略，着力构建中心城区红色文化、商业文化，田园区生态文化、历史文化，加快打造具有全省影响力的文旅文创产业品牌。加快二七华侨城、建业足球小镇等项目建设，全力做好樱桃沟景区灾后修复。加快仲景医药物流产业园、万科健康养老产业园等项目建设，发展健康管理、健康养老、专业医疗等大健康产业。</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四是加快新兴产业培育新动能。</w:t>
      </w:r>
      <w:r>
        <w:rPr>
          <w:rFonts w:hint="default" w:ascii="Times New Roman" w:hAnsi="Times New Roman" w:eastAsia="仿宋_GB2312" w:cs="Times New Roman"/>
          <w:color w:val="auto"/>
          <w:kern w:val="2"/>
          <w:sz w:val="32"/>
          <w:szCs w:val="32"/>
          <w:lang w:val="en-US" w:eastAsia="zh-CN" w:bidi="ar-SA"/>
        </w:rPr>
        <w:t>大力实施新兴产业培育计划，积极引进人工智能、大数据、云计算、物联网、网络安全、区块链等数字产业，加快数字信息基础设施建设，协同促进数字产业化和产业数字化转型，打造数字经济新优势。</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（三）深入推进科技创新，激发区域发展内生动力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深入实施科技创新驱动发展战略，激发创新创业活力，依靠科技创新推动经济高质量发展。</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一是提升创新平台能级。</w:t>
      </w:r>
      <w:r>
        <w:rPr>
          <w:rFonts w:hint="default" w:ascii="Times New Roman" w:hAnsi="Times New Roman" w:eastAsia="仿宋_GB2312" w:cs="Times New Roman"/>
          <w:color w:val="auto"/>
          <w:kern w:val="2"/>
          <w:sz w:val="32"/>
          <w:szCs w:val="32"/>
          <w:lang w:val="en-US" w:eastAsia="zh-CN" w:bidi="ar-SA"/>
        </w:rPr>
        <w:t>重点推进新型研发机构建设，发挥高校院所资源优势，推进行业龙头企业与高校院所共建联合研发平台，引导和支持辖区优势企业加大国家、省、市级工程（技术）研究中心、企业技术中心，院士工作站的建设力度。鼓励黄河科技学院</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黄河众创空间</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、大学科技园孵化器等载体平台培育小微企业。力争实现搭建省级以上创新引领型平台</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家、引进建设新型研发机构数量1家。</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二是培育壮大创新主体。</w:t>
      </w:r>
      <w:r>
        <w:rPr>
          <w:rFonts w:hint="default" w:ascii="Times New Roman" w:hAnsi="Times New Roman" w:eastAsia="仿宋_GB2312" w:cs="Times New Roman"/>
          <w:color w:val="auto"/>
          <w:kern w:val="2"/>
          <w:sz w:val="32"/>
          <w:szCs w:val="32"/>
          <w:lang w:val="en-US" w:eastAsia="zh-CN" w:bidi="ar-SA"/>
        </w:rPr>
        <w:t>实施高新技术企业倍增专项，做好高新技术企业培育工作。加大企业创新激励力度，以促进企业加大研发投入，培育壮大新动能。支持龙头骨干企业牵头布局建设国家级、省级企业重点实验室等高水平研发机构，提升企业技术创新能力。力争实现新增有效高新技术企业3</w:t>
      </w:r>
      <w:r>
        <w:rPr>
          <w:rFonts w:hint="eastAsia" w:ascii="Times New Roman" w:hAnsi="Times New Roman" w:eastAsia="仿宋_GB2312" w:cs="Times New Roman"/>
          <w:color w:val="auto"/>
          <w:kern w:val="2"/>
          <w:sz w:val="32"/>
          <w:szCs w:val="32"/>
          <w:lang w:val="en-US" w:eastAsia="zh-CN" w:bidi="ar-SA"/>
        </w:rPr>
        <w:t>0</w:t>
      </w:r>
      <w:r>
        <w:rPr>
          <w:rFonts w:hint="default" w:ascii="Times New Roman" w:hAnsi="Times New Roman" w:eastAsia="仿宋_GB2312" w:cs="Times New Roman"/>
          <w:color w:val="auto"/>
          <w:kern w:val="2"/>
          <w:sz w:val="32"/>
          <w:szCs w:val="32"/>
          <w:lang w:val="en-US" w:eastAsia="zh-CN" w:bidi="ar-SA"/>
        </w:rPr>
        <w:t>家、新增科技型企业</w:t>
      </w:r>
      <w:r>
        <w:rPr>
          <w:rFonts w:hint="eastAsia" w:ascii="Times New Roman" w:hAnsi="Times New Roman" w:eastAsia="仿宋_GB2312" w:cs="Times New Roman"/>
          <w:color w:val="auto"/>
          <w:kern w:val="2"/>
          <w:sz w:val="32"/>
          <w:szCs w:val="32"/>
          <w:lang w:val="en-US" w:eastAsia="zh-CN" w:bidi="ar-SA"/>
        </w:rPr>
        <w:t>50</w:t>
      </w:r>
      <w:r>
        <w:rPr>
          <w:rFonts w:hint="default" w:ascii="Times New Roman" w:hAnsi="Times New Roman" w:eastAsia="仿宋_GB2312" w:cs="Times New Roman"/>
          <w:color w:val="auto"/>
          <w:kern w:val="2"/>
          <w:sz w:val="32"/>
          <w:szCs w:val="32"/>
          <w:lang w:val="en-US" w:eastAsia="zh-CN" w:bidi="ar-SA"/>
        </w:rPr>
        <w:t>家。</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三是强化科技人才建设。</w:t>
      </w:r>
      <w:r>
        <w:rPr>
          <w:rFonts w:hint="default" w:ascii="Times New Roman" w:hAnsi="Times New Roman" w:eastAsia="仿宋_GB2312" w:cs="Times New Roman"/>
          <w:color w:val="auto"/>
          <w:kern w:val="2"/>
          <w:sz w:val="32"/>
          <w:szCs w:val="32"/>
          <w:lang w:val="en-US" w:eastAsia="zh-CN" w:bidi="ar-SA"/>
        </w:rPr>
        <w:t>落实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郑州人才</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计划、区人才新政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二十二条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，大力实施青年创业计划，抓好人才公寓建设、创业补贴等保障措施，构建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人才+平台</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互动孵化模式，搭建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产业+技能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人才培育基地，</w:t>
      </w:r>
      <w:r>
        <w:rPr>
          <w:rFonts w:hint="eastAsia" w:ascii="Times New Roman" w:hAnsi="Times New Roman" w:eastAsia="仿宋_GB2312" w:cs="Times New Roman"/>
          <w:color w:val="auto"/>
          <w:kern w:val="2"/>
          <w:sz w:val="32"/>
          <w:szCs w:val="32"/>
          <w:lang w:val="en-US" w:eastAsia="zh-CN" w:bidi="ar-SA"/>
        </w:rPr>
        <w:t>加快</w:t>
      </w:r>
      <w:r>
        <w:rPr>
          <w:rFonts w:hint="default" w:ascii="Times New Roman" w:hAnsi="Times New Roman" w:eastAsia="仿宋_GB2312" w:cs="Times New Roman"/>
          <w:color w:val="auto"/>
          <w:kern w:val="2"/>
          <w:sz w:val="32"/>
          <w:szCs w:val="32"/>
          <w:lang w:val="en-US" w:eastAsia="zh-CN" w:bidi="ar-SA"/>
        </w:rPr>
        <w:t>人才平台载体建设工作，力争全年引进培育领军人才和高层次紧缺人才6人。</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（四）进一步深化改革开放，激发市场发展活力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_GB2312" w:cs="Times New Roman"/>
          <w:color w:val="auto"/>
          <w:kern w:val="2"/>
          <w:sz w:val="32"/>
          <w:szCs w:val="32"/>
          <w:lang w:val="en-US" w:eastAsia="zh-CN" w:bidi="ar-SA"/>
        </w:rPr>
        <w:t>畅通内外循环，全面融入新发展格局，持续优化营商环境，进一步激发市场发展活力动力。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一是加快形成开放新格局。</w:t>
      </w:r>
      <w:r>
        <w:rPr>
          <w:rFonts w:hint="default" w:ascii="Times New Roman" w:hAnsi="Times New Roman" w:eastAsia="仿宋_GB2312" w:cs="Times New Roman"/>
          <w:color w:val="auto"/>
          <w:kern w:val="2"/>
          <w:sz w:val="32"/>
          <w:szCs w:val="32"/>
          <w:lang w:val="en-US" w:eastAsia="zh-CN" w:bidi="ar-SA"/>
        </w:rPr>
        <w:t>推进开放载体建设，支持外贸企业走出去，用好广交会、东盟会等境内境外、线上线下各类展会平台，扩大开放交流。支持外贸企业发展跨境电商，参与产业协作创新，促进技术创新和品牌建设。鼓励外资企业增资扩股，帮扶企业注册成立外资公司，扩大存量，优化增量。着力发展外向型经济，支持致欧家居、名扬窗饰等重点企业境外投资，深化同</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一带一路</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沿线国家和地区的经贸合作。力争进出口总值增长11%，实际利用外资增长3%。</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二是持续优化营商环境。</w:t>
      </w:r>
      <w:r>
        <w:rPr>
          <w:rFonts w:hint="default" w:ascii="Times New Roman" w:hAnsi="Times New Roman" w:eastAsia="仿宋_GB2312" w:cs="Times New Roman"/>
          <w:color w:val="auto"/>
          <w:kern w:val="2"/>
          <w:sz w:val="32"/>
          <w:szCs w:val="32"/>
          <w:lang w:val="en-US" w:eastAsia="zh-CN" w:bidi="ar-SA"/>
        </w:rPr>
        <w:t>继续深化</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一网通办、一次办成</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政务服务改革。高效推进一件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事</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，积极推进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省内通办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跨省通办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，统筹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四端融合</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，探索</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云审批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，解决企业和群众</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两地跑</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折返跑</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的问题。继续推广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人民帮办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云服务平台，推动二七商圈慧服务、马寨企业服务中心建设，打造精品街道便民服务中心。加快信用体系建设，落实推进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信易+</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应用创新，更好地发挥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信易贷</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平台对促进中小微企业融资的积极作用，更好地纾解中小微企业困难。</w:t>
      </w:r>
    </w:p>
    <w:p>
      <w:pPr>
        <w:pStyle w:val="12"/>
        <w:keepNext w:val="0"/>
        <w:keepLines w:val="0"/>
        <w:pageBreakBefore w:val="0"/>
        <w:widowControl w:val="0"/>
        <w:kinsoku/>
        <w:wordWrap/>
        <w:topLinePunct w:val="0"/>
        <w:autoSpaceDE w:val="0"/>
        <w:autoSpaceDN w:val="0"/>
        <w:bidi w:val="0"/>
        <w:spacing w:line="560" w:lineRule="exact"/>
        <w:ind w:firstLine="643"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spacing w:val="0"/>
          <w:kern w:val="2"/>
          <w:sz w:val="32"/>
          <w:szCs w:val="32"/>
          <w:lang w:val="en-US" w:eastAsia="zh-CN" w:bidi="ar-SA"/>
        </w:rPr>
        <w:t>三是推进重点领域改革。</w:t>
      </w:r>
      <w:r>
        <w:rPr>
          <w:rFonts w:hint="default" w:ascii="Times New Roman" w:hAnsi="Times New Roman" w:eastAsia="仿宋_GB2312" w:cs="Times New Roman"/>
          <w:color w:val="auto"/>
          <w:kern w:val="2"/>
          <w:sz w:val="32"/>
          <w:szCs w:val="32"/>
          <w:lang w:val="en-US" w:eastAsia="zh-CN" w:bidi="ar-SA"/>
        </w:rPr>
        <w:t>打好国企改革三年行动收官战，</w:t>
      </w:r>
      <w:r>
        <w:rPr>
          <w:rFonts w:hint="eastAsia" w:ascii="Times New Roman" w:hAnsi="Times New Roman" w:eastAsia="仿宋_GB2312" w:cs="Times New Roman"/>
          <w:color w:val="auto"/>
          <w:kern w:val="2"/>
          <w:sz w:val="32"/>
          <w:szCs w:val="32"/>
          <w:lang w:val="en-US" w:eastAsia="zh-CN" w:bidi="ar-SA"/>
        </w:rPr>
        <w:t>实现改革成果全面稳固化制度化</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有序推进自然资源领域、应急管理领域综合行政执法改革，推进事业单位重塑性改革和乡镇管理体制改革</w:t>
      </w:r>
      <w:r>
        <w:rPr>
          <w:rFonts w:hint="default" w:ascii="Times New Roman" w:hAnsi="Times New Roman" w:eastAsia="仿宋_GB2312" w:cs="Times New Roman"/>
          <w:color w:val="auto"/>
          <w:kern w:val="2"/>
          <w:sz w:val="32"/>
          <w:szCs w:val="32"/>
          <w:lang w:val="en-US" w:eastAsia="zh-CN" w:bidi="ar-SA"/>
        </w:rPr>
        <w:t>。推进开发区“三化三制”改革，</w:t>
      </w:r>
      <w:r>
        <w:rPr>
          <w:rFonts w:hint="eastAsia" w:ascii="Times New Roman" w:hAnsi="Times New Roman" w:eastAsia="仿宋_GB2312" w:cs="Times New Roman"/>
          <w:color w:val="auto"/>
          <w:kern w:val="2"/>
          <w:sz w:val="32"/>
          <w:szCs w:val="32"/>
          <w:lang w:val="en-US" w:eastAsia="zh-CN" w:bidi="ar-SA"/>
        </w:rPr>
        <w:t>实行</w:t>
      </w:r>
      <w:r>
        <w:rPr>
          <w:rFonts w:hint="default" w:ascii="Times New Roman" w:hAnsi="Times New Roman" w:eastAsia="仿宋_GB2312" w:cs="Times New Roman"/>
          <w:color w:val="auto"/>
          <w:kern w:val="2"/>
          <w:sz w:val="32"/>
          <w:szCs w:val="32"/>
          <w:lang w:val="en-US" w:eastAsia="zh-CN" w:bidi="ar-SA"/>
        </w:rPr>
        <w:t>“管委会+公司”</w:t>
      </w:r>
      <w:r>
        <w:rPr>
          <w:rFonts w:hint="eastAsia" w:ascii="Times New Roman" w:hAnsi="Times New Roman" w:eastAsia="仿宋_GB2312" w:cs="Times New Roman"/>
          <w:color w:val="auto"/>
          <w:kern w:val="2"/>
          <w:sz w:val="32"/>
          <w:szCs w:val="32"/>
          <w:lang w:val="en-US" w:eastAsia="zh-CN" w:bidi="ar-SA"/>
        </w:rPr>
        <w:t>模式，</w:t>
      </w:r>
      <w:r>
        <w:rPr>
          <w:rFonts w:hint="default" w:ascii="Times New Roman" w:hAnsi="Times New Roman" w:eastAsia="仿宋_GB2312" w:cs="Times New Roman"/>
          <w:color w:val="auto"/>
          <w:kern w:val="2"/>
          <w:sz w:val="32"/>
          <w:szCs w:val="32"/>
          <w:lang w:val="en-US" w:eastAsia="zh-CN" w:bidi="ar-SA"/>
        </w:rPr>
        <w:t>确保年底前完成改革任务</w:t>
      </w:r>
      <w:r>
        <w:rPr>
          <w:rFonts w:hint="eastAsia" w:ascii="Times New Roman" w:hAnsi="Times New Roman" w:eastAsia="仿宋_GB2312" w:cs="Times New Roman"/>
          <w:color w:val="auto"/>
          <w:kern w:val="2"/>
          <w:sz w:val="32"/>
          <w:szCs w:val="32"/>
          <w:lang w:val="en-US" w:eastAsia="zh-CN" w:bidi="ar-SA"/>
        </w:rPr>
        <w:t>，强化经济发展属性，进一步增强开发区集聚效应和发展动力。推行工业用地“标准地”供应，提高</w:t>
      </w:r>
      <w:r>
        <w:rPr>
          <w:rFonts w:hint="default" w:ascii="Times New Roman" w:hAnsi="Times New Roman" w:eastAsia="仿宋_GB2312" w:cs="Times New Roman"/>
          <w:color w:val="auto"/>
          <w:kern w:val="2"/>
          <w:sz w:val="32"/>
          <w:szCs w:val="32"/>
          <w:lang w:val="en-US" w:eastAsia="zh-CN" w:bidi="ar-SA"/>
        </w:rPr>
        <w:t>节约集约用地</w:t>
      </w:r>
      <w:r>
        <w:rPr>
          <w:rFonts w:hint="eastAsia" w:ascii="Times New Roman" w:hAnsi="Times New Roman" w:eastAsia="仿宋_GB2312" w:cs="Times New Roman"/>
          <w:color w:val="auto"/>
          <w:kern w:val="2"/>
          <w:sz w:val="32"/>
          <w:szCs w:val="32"/>
          <w:lang w:val="en-US" w:eastAsia="zh-CN" w:bidi="ar-SA"/>
        </w:rPr>
        <w:t>水平。</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（五）深入推进新型城镇化，促进城乡协调发展</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坚持以人为核心推进城镇化，在城乡协调发展中推进共同富裕。</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color w:val="auto"/>
          <w:sz w:val="32"/>
          <w:szCs w:val="32"/>
          <w:lang w:val="en-US" w:eastAsia="zh-CN"/>
        </w:rPr>
        <w:t>一</w:t>
      </w:r>
      <w:r>
        <w:rPr>
          <w:rFonts w:hint="default" w:ascii="Times New Roman" w:hAnsi="Times New Roman" w:eastAsia="仿宋_GB2312" w:cs="Times New Roman"/>
          <w:b/>
          <w:color w:val="auto"/>
          <w:sz w:val="32"/>
          <w:szCs w:val="32"/>
        </w:rPr>
        <w:t>是大力度完善城市功能。</w:t>
      </w:r>
      <w:r>
        <w:rPr>
          <w:rFonts w:hint="default" w:ascii="Times New Roman" w:hAnsi="Times New Roman" w:eastAsia="仿宋_GB2312" w:cs="Times New Roman"/>
          <w:color w:val="auto"/>
          <w:kern w:val="2"/>
          <w:sz w:val="32"/>
          <w:szCs w:val="32"/>
          <w:lang w:val="en-US" w:eastAsia="zh-CN" w:bidi="ar-SA"/>
        </w:rPr>
        <w:t>加快永和路、郑航北路等15条市政道路、Y017三梨线（老郑密路至御泉陵园）等</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条农村公路修建，进一步畅通群众出行。推广智慧停车管理，全年新增公共停车泊位6500个，进一步缓解交通拥堵、停车难等问题。开展支路背街病害窨井盖治理，完成窨井盖治理提升5000</w:t>
      </w:r>
      <w:r>
        <w:rPr>
          <w:rFonts w:hint="eastAsia" w:ascii="Times New Roman" w:hAnsi="Times New Roman" w:eastAsia="仿宋_GB2312" w:cs="Times New Roman"/>
          <w:color w:val="auto"/>
          <w:kern w:val="2"/>
          <w:sz w:val="32"/>
          <w:szCs w:val="32"/>
          <w:lang w:val="en-US" w:eastAsia="zh-CN" w:bidi="ar-SA"/>
        </w:rPr>
        <w:t>座</w:t>
      </w:r>
      <w:r>
        <w:rPr>
          <w:rFonts w:hint="default" w:ascii="Times New Roman" w:hAnsi="Times New Roman" w:eastAsia="仿宋_GB2312" w:cs="Times New Roman"/>
          <w:color w:val="auto"/>
          <w:kern w:val="2"/>
          <w:sz w:val="32"/>
          <w:szCs w:val="32"/>
          <w:lang w:val="en-US" w:eastAsia="zh-CN" w:bidi="ar-SA"/>
        </w:rPr>
        <w:t>以上。</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rPr>
        <w:t>是高品质加快城市更新。</w:t>
      </w:r>
      <w:r>
        <w:rPr>
          <w:rFonts w:hint="default" w:ascii="Times New Roman" w:hAnsi="Times New Roman" w:eastAsia="仿宋_GB2312" w:cs="Times New Roman"/>
          <w:color w:val="auto"/>
          <w:kern w:val="2"/>
          <w:sz w:val="32"/>
          <w:szCs w:val="32"/>
          <w:lang w:val="en-US" w:eastAsia="zh-CN" w:bidi="ar-SA"/>
        </w:rPr>
        <w:t>加快二七商圈有机更新，打造城市有机更新的典范、样板。全面启动400多万平方安置房建设，统筹推进周边配套设施，</w:t>
      </w:r>
      <w:r>
        <w:rPr>
          <w:rFonts w:hint="eastAsia" w:ascii="Times New Roman" w:hAnsi="Times New Roman" w:eastAsia="仿宋_GB2312" w:cs="Times New Roman"/>
          <w:color w:val="auto"/>
          <w:kern w:val="2"/>
          <w:sz w:val="32"/>
          <w:szCs w:val="32"/>
          <w:lang w:val="en-US" w:eastAsia="zh-CN" w:bidi="ar-SA"/>
        </w:rPr>
        <w:t>确保</w:t>
      </w:r>
      <w:r>
        <w:rPr>
          <w:rFonts w:hint="default" w:ascii="Times New Roman" w:hAnsi="Times New Roman" w:eastAsia="仿宋_GB2312" w:cs="Times New Roman"/>
          <w:color w:val="auto"/>
          <w:kern w:val="2"/>
          <w:sz w:val="32"/>
          <w:szCs w:val="32"/>
          <w:lang w:val="en-US" w:eastAsia="zh-CN" w:bidi="ar-SA"/>
        </w:rPr>
        <w:t>回迁1.35万名群众、120.5万平方米安置房基本建成，网签1万套。持续推进老旧小区改造，力争全年完成老旧小区</w:t>
      </w:r>
      <w:r>
        <w:rPr>
          <w:rFonts w:hint="eastAsia" w:ascii="Times New Roman" w:hAnsi="Times New Roman" w:eastAsia="仿宋_GB2312" w:cs="Times New Roman"/>
          <w:color w:val="auto"/>
          <w:kern w:val="2"/>
          <w:sz w:val="32"/>
          <w:szCs w:val="32"/>
          <w:lang w:val="en-US" w:eastAsia="zh-CN" w:bidi="ar-SA"/>
        </w:rPr>
        <w:t>改造</w:t>
      </w:r>
      <w:r>
        <w:rPr>
          <w:rFonts w:hint="default" w:ascii="Times New Roman" w:hAnsi="Times New Roman" w:eastAsia="仿宋_GB2312" w:cs="Times New Roman"/>
          <w:color w:val="auto"/>
          <w:kern w:val="2"/>
          <w:sz w:val="32"/>
          <w:szCs w:val="32"/>
          <w:lang w:val="en-US" w:eastAsia="zh-CN" w:bidi="ar-SA"/>
        </w:rPr>
        <w:t>不少于7087户，推进既有住宅加装电梯工作，力争全年加装电梯25部。</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三是推进安全韧性城市建设。</w:t>
      </w:r>
      <w:r>
        <w:rPr>
          <w:rFonts w:hint="eastAsia" w:ascii="Times New Roman" w:hAnsi="Times New Roman" w:eastAsia="仿宋_GB2312" w:cs="Times New Roman"/>
          <w:color w:val="auto"/>
          <w:kern w:val="2"/>
          <w:sz w:val="32"/>
          <w:szCs w:val="32"/>
          <w:lang w:val="en-US" w:eastAsia="zh-CN" w:bidi="ar-SA"/>
        </w:rPr>
        <w:t>把新基建作为基础设施建设的战略工程，加快基层社会治理与综合感知服务项目建设，增强风险识别和预警能力，做强“城市大脑”，构建智慧城市治理体系。围绕</w:t>
      </w:r>
      <w:r>
        <w:rPr>
          <w:rFonts w:hint="default" w:ascii="Times New Roman" w:hAnsi="Times New Roman" w:eastAsia="仿宋_GB2312" w:cs="Times New Roman"/>
          <w:color w:val="auto"/>
          <w:kern w:val="2"/>
          <w:sz w:val="32"/>
          <w:szCs w:val="32"/>
          <w:lang w:val="en-US" w:eastAsia="zh-CN" w:bidi="ar-SA"/>
        </w:rPr>
        <w:t>城市防洪、城市内涝、城市地下空间排水防涝</w:t>
      </w:r>
      <w:r>
        <w:rPr>
          <w:rFonts w:hint="eastAsia" w:ascii="Times New Roman" w:hAnsi="Times New Roman" w:eastAsia="仿宋_GB2312" w:cs="Times New Roman"/>
          <w:color w:val="auto"/>
          <w:kern w:val="2"/>
          <w:sz w:val="32"/>
          <w:szCs w:val="32"/>
          <w:lang w:val="en-US" w:eastAsia="zh-CN" w:bidi="ar-SA"/>
        </w:rPr>
        <w:t>等</w:t>
      </w:r>
      <w:r>
        <w:rPr>
          <w:rFonts w:hint="default" w:ascii="Times New Roman" w:hAnsi="Times New Roman" w:eastAsia="仿宋_GB2312" w:cs="Times New Roman"/>
          <w:color w:val="auto"/>
          <w:kern w:val="2"/>
          <w:sz w:val="32"/>
          <w:szCs w:val="32"/>
          <w:lang w:val="en-US" w:eastAsia="zh-CN" w:bidi="ar-SA"/>
        </w:rPr>
        <w:t>强力推进城市排水防涝设施建设</w:t>
      </w:r>
      <w:r>
        <w:rPr>
          <w:rFonts w:hint="eastAsia" w:ascii="Times New Roman" w:hAnsi="Times New Roman" w:eastAsia="仿宋_GB2312" w:cs="Times New Roman"/>
          <w:color w:val="auto"/>
          <w:kern w:val="2"/>
          <w:sz w:val="32"/>
          <w:szCs w:val="32"/>
          <w:lang w:val="en-US" w:eastAsia="zh-CN" w:bidi="ar-SA"/>
        </w:rPr>
        <w:t>。建成区应急指挥平台，</w:t>
      </w:r>
      <w:r>
        <w:rPr>
          <w:rFonts w:hint="default" w:ascii="Times New Roman" w:hAnsi="Times New Roman" w:eastAsia="仿宋_GB2312" w:cs="Times New Roman"/>
          <w:color w:val="auto"/>
          <w:kern w:val="2"/>
          <w:sz w:val="32"/>
          <w:szCs w:val="32"/>
          <w:lang w:val="en-US" w:eastAsia="zh-CN" w:bidi="ar-SA"/>
        </w:rPr>
        <w:t>健全城市应急预案</w:t>
      </w:r>
      <w:r>
        <w:rPr>
          <w:rFonts w:hint="eastAsia" w:ascii="Times New Roman" w:hAnsi="Times New Roman" w:eastAsia="仿宋_GB2312" w:cs="Times New Roman"/>
          <w:color w:val="auto"/>
          <w:kern w:val="2"/>
          <w:sz w:val="32"/>
          <w:szCs w:val="32"/>
          <w:lang w:val="en-US" w:eastAsia="zh-CN" w:bidi="ar-SA"/>
        </w:rPr>
        <w:t>。建成应急救援保障基地，</w:t>
      </w:r>
      <w:r>
        <w:rPr>
          <w:rFonts w:hint="default" w:ascii="Times New Roman" w:hAnsi="Times New Roman" w:eastAsia="仿宋_GB2312" w:cs="Times New Roman"/>
          <w:color w:val="auto"/>
          <w:kern w:val="2"/>
          <w:sz w:val="32"/>
          <w:szCs w:val="32"/>
          <w:lang w:val="en-US" w:eastAsia="zh-CN" w:bidi="ar-SA"/>
        </w:rPr>
        <w:t>增强应急物资保障能力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加强应急救援专业队伍建设，强化抢险应急演练，提升应急抢险能力。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color w:val="auto"/>
          <w:sz w:val="32"/>
          <w:szCs w:val="32"/>
          <w:lang w:val="en-US" w:eastAsia="zh-CN"/>
        </w:rPr>
        <w:t>四</w:t>
      </w:r>
      <w:r>
        <w:rPr>
          <w:rFonts w:hint="default" w:ascii="Times New Roman" w:hAnsi="Times New Roman" w:eastAsia="仿宋_GB2312" w:cs="Times New Roman"/>
          <w:b/>
          <w:color w:val="auto"/>
          <w:sz w:val="32"/>
          <w:szCs w:val="32"/>
        </w:rPr>
        <w:t>是全面推进美丽乡村建设。</w:t>
      </w:r>
      <w:r>
        <w:rPr>
          <w:rFonts w:hint="default" w:ascii="Times New Roman" w:hAnsi="Times New Roman" w:eastAsia="仿宋_GB2312" w:cs="Times New Roman"/>
          <w:color w:val="auto"/>
          <w:kern w:val="2"/>
          <w:sz w:val="32"/>
          <w:szCs w:val="32"/>
          <w:lang w:val="en-US" w:eastAsia="zh-CN" w:bidi="ar-SA"/>
        </w:rPr>
        <w:t>聚焦乡村振兴战略，围绕田园增收、乡村旅游等行动，抓好樱桃沟片区等14个美丽乡村建设，完善基础设施及公共服务配套，引进导入文旅产业，实现公共服务、治理水平、产业发展、群众收入等全面提升。</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（六）持续改善生态环境，推动绿色低碳发展</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_GB2312" w:cs="Times New Roman"/>
          <w:color w:val="auto"/>
          <w:kern w:val="2"/>
          <w:sz w:val="32"/>
          <w:szCs w:val="32"/>
          <w:lang w:val="en-US" w:eastAsia="zh-CN" w:bidi="ar-SA"/>
        </w:rPr>
        <w:t>深入贯彻落实黄河流域生态保护和高质量发展国家战略，强化生态优先、绿色发展。</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_GB2312" w:cs="Times New Roman"/>
          <w:b/>
          <w:color w:val="auto"/>
          <w:sz w:val="32"/>
          <w:szCs w:val="32"/>
        </w:rPr>
        <w:t>一是持续加强污染防治攻坚。</w:t>
      </w:r>
      <w:r>
        <w:rPr>
          <w:rFonts w:hint="default" w:ascii="Times New Roman" w:hAnsi="Times New Roman" w:eastAsia="仿宋_GB2312" w:cs="Times New Roman"/>
          <w:color w:val="auto"/>
          <w:kern w:val="2"/>
          <w:sz w:val="32"/>
          <w:szCs w:val="32"/>
          <w:lang w:val="en-US" w:eastAsia="zh-CN" w:bidi="ar-SA"/>
        </w:rPr>
        <w:t>强化大气污染联防联控、减污降碳协同治理，确保完成年度目标任务。全面落实河长制，持续开展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河湖清四乱</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三污一净</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等专项整治。深入推进饮用水水源地排查整治、农村生活污水达标排放，保障饮用水源地安全。强化土壤污染日常监管，健全土壤环境监测网络和应急体系。</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二是持续提升绿化水平。</w:t>
      </w:r>
      <w:r>
        <w:rPr>
          <w:rFonts w:hint="default" w:ascii="Times New Roman" w:hAnsi="Times New Roman" w:eastAsia="仿宋_GB2312" w:cs="Times New Roman"/>
          <w:color w:val="auto"/>
          <w:kern w:val="2"/>
          <w:sz w:val="32"/>
          <w:szCs w:val="32"/>
          <w:lang w:val="en-US" w:eastAsia="zh-CN" w:bidi="ar-SA"/>
        </w:rPr>
        <w:t>大力推进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三带四域八廊</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建设，全面实施公园（微公园）的建设与提升，新建生态廊道2个、公园游园5个，新增绿地面积25万平方米。加快因灾损毁的森林乡村恢复重建，全年实现新建森林乡村1个、恢复重建森林乡村</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示范村</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2个。</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三是推广绿色生产生活方式。</w:t>
      </w:r>
      <w:r>
        <w:rPr>
          <w:rFonts w:hint="default" w:ascii="Times New Roman" w:hAnsi="Times New Roman" w:eastAsia="仿宋_GB2312" w:cs="Times New Roman"/>
          <w:color w:val="auto"/>
          <w:kern w:val="2"/>
          <w:sz w:val="32"/>
          <w:szCs w:val="32"/>
          <w:lang w:val="en-US" w:eastAsia="zh-CN" w:bidi="ar-SA"/>
        </w:rPr>
        <w:t>坚决遏制高耗能、高排放、低水平项目盲目发展，加大对重点耗能企业节能监测预警，</w:t>
      </w:r>
      <w:r>
        <w:rPr>
          <w:rFonts w:hint="eastAsia" w:ascii="Times New Roman" w:hAnsi="Times New Roman" w:eastAsia="仿宋_GB2312" w:cs="Times New Roman"/>
          <w:color w:val="auto"/>
          <w:kern w:val="2"/>
          <w:sz w:val="32"/>
          <w:szCs w:val="32"/>
          <w:lang w:val="en-US" w:eastAsia="zh-CN" w:bidi="ar-SA"/>
        </w:rPr>
        <w:t>抓好</w:t>
      </w:r>
      <w:r>
        <w:rPr>
          <w:rFonts w:hint="default" w:ascii="Times New Roman" w:hAnsi="Times New Roman" w:eastAsia="仿宋_GB2312" w:cs="Times New Roman"/>
          <w:color w:val="auto"/>
          <w:kern w:val="2"/>
          <w:sz w:val="32"/>
          <w:szCs w:val="32"/>
          <w:lang w:val="en-US" w:eastAsia="zh-CN" w:bidi="ar-SA"/>
        </w:rPr>
        <w:t>能耗“双控”工作</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确保完成年度节能目标。</w:t>
      </w:r>
      <w:r>
        <w:rPr>
          <w:rFonts w:hint="eastAsia" w:ascii="Times New Roman" w:hAnsi="Times New Roman" w:eastAsia="仿宋_GB2312" w:cs="Times New Roman"/>
          <w:color w:val="auto"/>
          <w:kern w:val="2"/>
          <w:sz w:val="32"/>
          <w:szCs w:val="32"/>
          <w:lang w:val="en-US" w:eastAsia="zh-CN" w:bidi="ar-SA"/>
        </w:rPr>
        <w:t>持续</w:t>
      </w:r>
      <w:r>
        <w:rPr>
          <w:rFonts w:hint="default" w:ascii="Times New Roman" w:hAnsi="Times New Roman" w:eastAsia="仿宋_GB2312" w:cs="Times New Roman"/>
          <w:color w:val="auto"/>
          <w:kern w:val="2"/>
          <w:sz w:val="32"/>
          <w:szCs w:val="32"/>
          <w:lang w:val="en-US" w:eastAsia="zh-CN" w:bidi="ar-SA"/>
        </w:rPr>
        <w:t>推进塑料污染治理工作。</w:t>
      </w:r>
      <w:r>
        <w:rPr>
          <w:rFonts w:hint="eastAsia" w:ascii="Times New Roman" w:hAnsi="Times New Roman" w:eastAsia="仿宋_GB2312" w:cs="Times New Roman"/>
          <w:color w:val="auto"/>
          <w:kern w:val="2"/>
          <w:sz w:val="32"/>
          <w:szCs w:val="32"/>
          <w:lang w:val="en-US" w:eastAsia="zh-CN" w:bidi="ar-SA"/>
        </w:rPr>
        <w:t>推进生活垃圾分类，</w:t>
      </w:r>
      <w:r>
        <w:rPr>
          <w:rFonts w:hint="default" w:ascii="Times New Roman" w:hAnsi="Times New Roman" w:eastAsia="仿宋_GB2312" w:cs="Times New Roman"/>
          <w:color w:val="auto"/>
          <w:kern w:val="2"/>
          <w:sz w:val="32"/>
          <w:szCs w:val="32"/>
          <w:lang w:val="en-US" w:eastAsia="zh-CN" w:bidi="ar-SA"/>
        </w:rPr>
        <w:t>生活垃圾分类覆盖率达到98%以上，生活垃圾回收利用率达到38%以上。广泛开展节能降碳宣传教育，大力倡导绿色低碳生产生活方式</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持续增强全民节能意识和节能能力，积极营造节能降碳浓厚氛围，推动绿色低碳生产生活方式成为新的风尚。</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（七）加快灾后恢复重建，切实保障和改善民生</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坚持以人民为中心的发展思想，加快灾后恢复重建，保障人民群众生命财产安全，不断提升公共服务水平，着力解决人民群众的操心事、烦心事、揪心事。</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一是大力推进灾后重建工作。</w:t>
      </w:r>
      <w:r>
        <w:rPr>
          <w:rFonts w:hint="default" w:ascii="Times New Roman" w:hAnsi="Times New Roman" w:eastAsia="仿宋_GB2312" w:cs="Times New Roman"/>
          <w:color w:val="auto"/>
          <w:kern w:val="2"/>
          <w:sz w:val="32"/>
          <w:szCs w:val="32"/>
          <w:lang w:val="en-US" w:eastAsia="zh-CN" w:bidi="ar-SA"/>
        </w:rPr>
        <w:t>加快推进</w:t>
      </w:r>
      <w:r>
        <w:rPr>
          <w:rFonts w:hint="eastAsia" w:ascii="Times New Roman" w:hAnsi="Times New Roman" w:eastAsia="仿宋_GB2312" w:cs="Times New Roman"/>
          <w:color w:val="auto"/>
          <w:kern w:val="2"/>
          <w:sz w:val="32"/>
          <w:szCs w:val="32"/>
          <w:lang w:val="en-US" w:eastAsia="zh-CN" w:bidi="ar-SA"/>
        </w:rPr>
        <w:t>356个灾后重建项目建设</w:t>
      </w:r>
      <w:r>
        <w:rPr>
          <w:rFonts w:hint="default" w:ascii="Times New Roman" w:hAnsi="Times New Roman" w:eastAsia="仿宋_GB2312" w:cs="Times New Roman"/>
          <w:color w:val="auto"/>
          <w:kern w:val="2"/>
          <w:sz w:val="32"/>
          <w:szCs w:val="32"/>
          <w:lang w:val="en-US" w:eastAsia="zh-CN" w:bidi="ar-SA"/>
        </w:rPr>
        <w:t>。加快推进郭家咀水库</w:t>
      </w:r>
      <w:r>
        <w:rPr>
          <w:rFonts w:hint="eastAsia" w:ascii="Times New Roman" w:hAnsi="Times New Roman" w:eastAsia="仿宋_GB2312" w:cs="Times New Roman"/>
          <w:color w:val="auto"/>
          <w:kern w:val="2"/>
          <w:sz w:val="32"/>
          <w:szCs w:val="32"/>
          <w:lang w:val="en-US" w:eastAsia="zh-CN" w:bidi="ar-SA"/>
        </w:rPr>
        <w:t>加固提升</w:t>
      </w:r>
      <w:r>
        <w:rPr>
          <w:rFonts w:hint="default" w:ascii="Times New Roman" w:hAnsi="Times New Roman" w:eastAsia="仿宋_GB2312" w:cs="Times New Roman"/>
          <w:color w:val="auto"/>
          <w:kern w:val="2"/>
          <w:sz w:val="32"/>
          <w:szCs w:val="32"/>
          <w:lang w:val="en-US" w:eastAsia="zh-CN" w:bidi="ar-SA"/>
        </w:rPr>
        <w:t>工程。</w:t>
      </w:r>
      <w:r>
        <w:rPr>
          <w:rFonts w:hint="eastAsia" w:ascii="Times New Roman" w:hAnsi="Times New Roman" w:eastAsia="仿宋_GB2312" w:cs="Times New Roman"/>
          <w:color w:val="auto"/>
          <w:kern w:val="2"/>
          <w:sz w:val="32"/>
          <w:szCs w:val="32"/>
          <w:lang w:val="en-US" w:eastAsia="zh-CN" w:bidi="ar-SA"/>
        </w:rPr>
        <w:t>加快</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X012尖樱线樱桃沟大坝</w:t>
      </w:r>
      <w:r>
        <w:rPr>
          <w:rFonts w:hint="eastAsia" w:ascii="Times New Roman" w:hAnsi="Times New Roman" w:eastAsia="仿宋_GB2312" w:cs="Times New Roman"/>
          <w:b w:val="0"/>
          <w:bCs w:val="0"/>
          <w:color w:val="auto"/>
          <w:kern w:val="2"/>
          <w:sz w:val="32"/>
          <w:szCs w:val="32"/>
          <w:highlight w:val="none"/>
          <w:u w:val="none" w:color="auto"/>
          <w:lang w:val="en-US" w:eastAsia="zh-CN" w:bidi="ar-SA"/>
        </w:rPr>
        <w:t>等四个大坝桥梁工程建设，全面</w:t>
      </w:r>
      <w:r>
        <w:rPr>
          <w:rFonts w:hint="default" w:ascii="Times New Roman" w:hAnsi="Times New Roman" w:eastAsia="仿宋_GB2312" w:cs="Times New Roman"/>
          <w:color w:val="auto"/>
          <w:kern w:val="2"/>
          <w:sz w:val="32"/>
          <w:szCs w:val="32"/>
          <w:lang w:val="en-US" w:eastAsia="zh-CN" w:bidi="ar-SA"/>
        </w:rPr>
        <w:t>完成重大灾毁路段恢复重建。</w:t>
      </w:r>
      <w:r>
        <w:rPr>
          <w:rFonts w:hint="eastAsia" w:ascii="Times New Roman" w:hAnsi="Times New Roman" w:eastAsia="仿宋_GB2312" w:cs="Times New Roman"/>
          <w:color w:val="auto"/>
          <w:kern w:val="2"/>
          <w:sz w:val="32"/>
          <w:szCs w:val="32"/>
          <w:lang w:val="en-US" w:eastAsia="zh-CN" w:bidi="ar-SA"/>
        </w:rPr>
        <w:t>加快第102中学原址重建，确保秋季开学前投入使用。</w:t>
      </w:r>
      <w:r>
        <w:rPr>
          <w:rFonts w:hint="default" w:ascii="Times New Roman" w:hAnsi="Times New Roman" w:eastAsia="仿宋_GB2312" w:cs="Times New Roman"/>
          <w:color w:val="auto"/>
          <w:kern w:val="2"/>
          <w:sz w:val="32"/>
          <w:szCs w:val="32"/>
          <w:lang w:val="en-US" w:eastAsia="zh-CN" w:bidi="ar-SA"/>
        </w:rPr>
        <w:t>优化完善排水设施功能，加快城区易涝道路治理，完成城区积水点整治。</w:t>
      </w:r>
      <w:r>
        <w:rPr>
          <w:rFonts w:hint="eastAsia" w:ascii="Times New Roman" w:hAnsi="Times New Roman" w:eastAsia="仿宋_GB2312" w:cs="Times New Roman"/>
          <w:color w:val="auto"/>
          <w:kern w:val="2"/>
          <w:sz w:val="32"/>
          <w:szCs w:val="32"/>
          <w:lang w:val="en-US" w:eastAsia="zh-CN" w:bidi="ar-SA"/>
        </w:rPr>
        <w:t>加快临水临电小区修复工作，确保安全度汛。</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_GB2312" w:cs="Times New Roman"/>
          <w:b/>
          <w:color w:val="auto"/>
          <w:sz w:val="32"/>
          <w:szCs w:val="32"/>
        </w:rPr>
        <w:t>二是加强社会保障和服务。</w:t>
      </w:r>
      <w:r>
        <w:rPr>
          <w:rFonts w:hint="default" w:ascii="Times New Roman" w:hAnsi="Times New Roman" w:eastAsia="仿宋_GB2312" w:cs="Times New Roman"/>
          <w:color w:val="auto"/>
          <w:kern w:val="2"/>
          <w:sz w:val="32"/>
          <w:szCs w:val="32"/>
          <w:lang w:val="en-US" w:eastAsia="zh-CN" w:bidi="ar-SA"/>
        </w:rPr>
        <w:t>严格落实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双减</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政策，持续优化提升午餐供餐和课后延时服务，深化实施新名校集团化战略，年底前实现全区参与集团化办学学校达40%以上，全年新增公办幼儿园8所，新建中小学</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所、投用3所。抓好高校毕业生、农民工、困难群体等重点人群就业工作，举办线上线下招聘会，实现全年新增城镇就业19500人，新增农村劳动力转移就业</w:t>
      </w:r>
      <w:r>
        <w:rPr>
          <w:rFonts w:hint="eastAsia" w:ascii="Times New Roman" w:hAnsi="Times New Roman" w:eastAsia="仿宋_GB2312" w:cs="Times New Roman"/>
          <w:color w:val="auto"/>
          <w:kern w:val="2"/>
          <w:sz w:val="32"/>
          <w:szCs w:val="32"/>
          <w:lang w:val="en-US" w:eastAsia="zh-CN" w:bidi="ar-SA"/>
        </w:rPr>
        <w:t>80</w:t>
      </w:r>
      <w:r>
        <w:rPr>
          <w:rFonts w:hint="default" w:ascii="Times New Roman" w:hAnsi="Times New Roman" w:eastAsia="仿宋_GB2312" w:cs="Times New Roman"/>
          <w:color w:val="auto"/>
          <w:kern w:val="2"/>
          <w:sz w:val="32"/>
          <w:szCs w:val="32"/>
          <w:lang w:val="en-US" w:eastAsia="zh-CN" w:bidi="ar-SA"/>
        </w:rPr>
        <w:t>人。加强民生兜底保障和困难群众救助，提升残疾预防和康复服务水平，努力做到应保尽保、应助尽助。推动老龄事业发展，确保年底前街道养老服务中心、社区日间照料中心全覆盖。强化未成年人保护。落实三孩生育政策，发展普惠托育服</w:t>
      </w:r>
      <w:bookmarkStart w:id="0" w:name="_GoBack"/>
      <w:bookmarkEnd w:id="0"/>
      <w:r>
        <w:rPr>
          <w:rFonts w:hint="default" w:ascii="Times New Roman" w:hAnsi="Times New Roman" w:eastAsia="仿宋_GB2312" w:cs="Times New Roman"/>
          <w:color w:val="auto"/>
          <w:kern w:val="2"/>
          <w:sz w:val="32"/>
          <w:szCs w:val="32"/>
          <w:lang w:val="en-US" w:eastAsia="zh-CN" w:bidi="ar-SA"/>
        </w:rPr>
        <w:t>务。深化医药卫生体制改革，着力提升医疗服务能力，健全中医药服务体系，持续开展群众爱国卫生运动。持续开展文化惠民工程，全年开展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戏曲进校园</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活动不少于60场。强力推进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一场一馆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公共体育设施建设，打造城市社区15分钟健身圈。保障困难群众住房，推进保障性住房建设。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sz w:val="32"/>
          <w:szCs w:val="32"/>
        </w:rPr>
        <w:t>三是提升社会治理水平。</w:t>
      </w:r>
      <w:r>
        <w:rPr>
          <w:rFonts w:hint="default" w:ascii="Times New Roman" w:hAnsi="Times New Roman" w:eastAsia="仿宋_GB2312" w:cs="Times New Roman"/>
          <w:color w:val="auto"/>
          <w:kern w:val="2"/>
          <w:sz w:val="32"/>
          <w:szCs w:val="32"/>
          <w:lang w:val="en-US" w:eastAsia="zh-CN" w:bidi="ar-SA"/>
        </w:rPr>
        <w:t>深入开展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五员进社区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、积案攻坚行动，加强矛盾纠纷排查化解，依法及时解决群众合理诉求。常态</w:t>
      </w:r>
      <w:r>
        <w:rPr>
          <w:rFonts w:hint="eastAsia" w:ascii="Times New Roman" w:hAnsi="Times New Roman" w:eastAsia="仿宋_GB2312" w:cs="Times New Roman"/>
          <w:color w:val="auto"/>
          <w:kern w:val="2"/>
          <w:sz w:val="32"/>
          <w:szCs w:val="32"/>
          <w:lang w:val="en-US" w:eastAsia="zh-CN" w:bidi="ar-SA"/>
        </w:rPr>
        <w:t>化</w:t>
      </w:r>
      <w:r>
        <w:rPr>
          <w:rFonts w:hint="default" w:ascii="Times New Roman" w:hAnsi="Times New Roman" w:eastAsia="仿宋_GB2312" w:cs="Times New Roman"/>
          <w:color w:val="auto"/>
          <w:kern w:val="2"/>
          <w:sz w:val="32"/>
          <w:szCs w:val="32"/>
          <w:lang w:val="en-US" w:eastAsia="zh-CN" w:bidi="ar-SA"/>
        </w:rPr>
        <w:t>抓好疫情防控，坚持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外防输入、内防反弹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，科学精准做好疫情防控工作。深入开展平安单位</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零上访、零事故、零案件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创建活动，抓牢平安建设。</w:t>
      </w:r>
      <w:r>
        <w:rPr>
          <w:rFonts w:hint="eastAsia" w:ascii="Times New Roman" w:hAnsi="Times New Roman" w:eastAsia="仿宋_GB2312" w:cs="Times New Roman"/>
          <w:color w:val="auto"/>
          <w:kern w:val="2"/>
          <w:sz w:val="32"/>
          <w:szCs w:val="32"/>
          <w:lang w:val="en-US" w:eastAsia="zh-CN" w:bidi="ar-SA"/>
        </w:rPr>
        <w:t>牢固树立人民至上、生命至上理念，进一步强化风险意识和底线思维，加强极端天气条件下防范应对自然灾害和突发事件，</w:t>
      </w:r>
      <w:r>
        <w:rPr>
          <w:rFonts w:hint="default" w:ascii="Times New Roman" w:hAnsi="Times New Roman" w:eastAsia="仿宋_GB2312" w:cs="Times New Roman"/>
          <w:color w:val="auto"/>
          <w:kern w:val="2"/>
          <w:sz w:val="32"/>
          <w:szCs w:val="32"/>
          <w:lang w:val="en-US" w:eastAsia="zh-CN" w:bidi="ar-SA"/>
        </w:rPr>
        <w:t>严格落实安全生产责任制，持续抓好食品药品等领域安全，坚决遏制重特大安全事故发生。</w:t>
      </w:r>
      <w:r>
        <w:rPr>
          <w:rFonts w:hint="eastAsia" w:ascii="Times New Roman" w:hAnsi="Times New Roman" w:eastAsia="仿宋_GB2312" w:cs="Times New Roman"/>
          <w:color w:val="auto"/>
          <w:kern w:val="2"/>
          <w:sz w:val="32"/>
          <w:szCs w:val="32"/>
          <w:lang w:val="en-US" w:eastAsia="zh-CN" w:bidi="ar-SA"/>
        </w:rPr>
        <w:t>坚决抓好</w:t>
      </w:r>
      <w:r>
        <w:rPr>
          <w:rFonts w:hint="default" w:ascii="Times New Roman" w:hAnsi="Times New Roman" w:eastAsia="仿宋_GB2312" w:cs="Times New Roman"/>
          <w:color w:val="auto"/>
          <w:kern w:val="2"/>
          <w:sz w:val="32"/>
          <w:szCs w:val="32"/>
          <w:lang w:val="en-US" w:eastAsia="zh-CN" w:bidi="ar-SA"/>
        </w:rPr>
        <w:t>7</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20特大暴雨灾害问题整改，</w:t>
      </w:r>
      <w:r>
        <w:rPr>
          <w:rFonts w:hint="eastAsia" w:ascii="Times New Roman" w:hAnsi="Times New Roman" w:eastAsia="仿宋_GB2312" w:cs="Times New Roman"/>
          <w:color w:val="auto"/>
          <w:kern w:val="2"/>
          <w:sz w:val="32"/>
          <w:szCs w:val="32"/>
          <w:lang w:val="en-US" w:eastAsia="zh-CN" w:bidi="ar-SA"/>
        </w:rPr>
        <w:t>切实维护好人民群众生命财产安全。</w:t>
      </w:r>
    </w:p>
    <w:p>
      <w:pPr>
        <w:pStyle w:val="2"/>
        <w:pageBreakBefore w:val="0"/>
        <w:widowControl w:val="0"/>
        <w:kinsoku/>
        <w:wordWrap/>
        <w:topLinePunct w:val="0"/>
        <w:bidi w:val="0"/>
        <w:spacing w:before="0" w:after="0" w:line="560" w:lineRule="exact"/>
        <w:rPr>
          <w:rFonts w:hint="default"/>
          <w:color w:val="auto"/>
          <w:lang w:val="en-US" w:eastAsia="zh-CN"/>
        </w:rPr>
      </w:pPr>
    </w:p>
    <w:sectPr>
      <w:footerReference r:id="rId3" w:type="default"/>
      <w:pgSz w:w="11906" w:h="16838"/>
      <w:pgMar w:top="2154" w:right="1417" w:bottom="1701" w:left="1417"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3000509000000000000"/>
    <w:charset w:val="86"/>
    <w:family w:val="script"/>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ZTRiZmU2OGRjNGZlYTQwYWEwNTJiYjg2Y2RjYjAifQ=="/>
  </w:docVars>
  <w:rsids>
    <w:rsidRoot w:val="00951715"/>
    <w:rsid w:val="0000656B"/>
    <w:rsid w:val="000071CB"/>
    <w:rsid w:val="00016D08"/>
    <w:rsid w:val="0003486A"/>
    <w:rsid w:val="0003586A"/>
    <w:rsid w:val="000515DD"/>
    <w:rsid w:val="00075410"/>
    <w:rsid w:val="00077E7A"/>
    <w:rsid w:val="00080F91"/>
    <w:rsid w:val="000A11C3"/>
    <w:rsid w:val="000A2EB0"/>
    <w:rsid w:val="000F4AFF"/>
    <w:rsid w:val="001008BD"/>
    <w:rsid w:val="00101CAC"/>
    <w:rsid w:val="00104B3B"/>
    <w:rsid w:val="001128A7"/>
    <w:rsid w:val="001570DE"/>
    <w:rsid w:val="001710A1"/>
    <w:rsid w:val="00181666"/>
    <w:rsid w:val="001C7CA1"/>
    <w:rsid w:val="001D24B9"/>
    <w:rsid w:val="001F7491"/>
    <w:rsid w:val="00206099"/>
    <w:rsid w:val="00230B7F"/>
    <w:rsid w:val="00256144"/>
    <w:rsid w:val="00257C46"/>
    <w:rsid w:val="00277A3E"/>
    <w:rsid w:val="002860C9"/>
    <w:rsid w:val="002B604E"/>
    <w:rsid w:val="002D1B6A"/>
    <w:rsid w:val="002F1CD7"/>
    <w:rsid w:val="003258C8"/>
    <w:rsid w:val="003412AE"/>
    <w:rsid w:val="0034522B"/>
    <w:rsid w:val="00362D1C"/>
    <w:rsid w:val="003745DF"/>
    <w:rsid w:val="00384E1E"/>
    <w:rsid w:val="003A2406"/>
    <w:rsid w:val="003C27E4"/>
    <w:rsid w:val="003E1FFB"/>
    <w:rsid w:val="003F1F4B"/>
    <w:rsid w:val="00410D45"/>
    <w:rsid w:val="00411D00"/>
    <w:rsid w:val="00417B25"/>
    <w:rsid w:val="00422883"/>
    <w:rsid w:val="00423CBB"/>
    <w:rsid w:val="00423D9D"/>
    <w:rsid w:val="004346EF"/>
    <w:rsid w:val="00445C47"/>
    <w:rsid w:val="00452409"/>
    <w:rsid w:val="0046037F"/>
    <w:rsid w:val="00460BC0"/>
    <w:rsid w:val="00484B0D"/>
    <w:rsid w:val="004D05C0"/>
    <w:rsid w:val="004F4ACC"/>
    <w:rsid w:val="004F50D1"/>
    <w:rsid w:val="004F75AE"/>
    <w:rsid w:val="00504170"/>
    <w:rsid w:val="005114CA"/>
    <w:rsid w:val="00531483"/>
    <w:rsid w:val="00576637"/>
    <w:rsid w:val="00581605"/>
    <w:rsid w:val="00584C9E"/>
    <w:rsid w:val="00596C2B"/>
    <w:rsid w:val="005F007F"/>
    <w:rsid w:val="006142FE"/>
    <w:rsid w:val="00625BF2"/>
    <w:rsid w:val="0066361E"/>
    <w:rsid w:val="0068566F"/>
    <w:rsid w:val="00694EA9"/>
    <w:rsid w:val="00695D9A"/>
    <w:rsid w:val="006A7F85"/>
    <w:rsid w:val="006B1920"/>
    <w:rsid w:val="006C1DAB"/>
    <w:rsid w:val="006C5EB9"/>
    <w:rsid w:val="006F1C2C"/>
    <w:rsid w:val="00726EF9"/>
    <w:rsid w:val="00746122"/>
    <w:rsid w:val="007700D0"/>
    <w:rsid w:val="00770CEF"/>
    <w:rsid w:val="00773865"/>
    <w:rsid w:val="00777024"/>
    <w:rsid w:val="00787C6F"/>
    <w:rsid w:val="007A5860"/>
    <w:rsid w:val="007B4AB3"/>
    <w:rsid w:val="007C27C4"/>
    <w:rsid w:val="007D6641"/>
    <w:rsid w:val="007E030D"/>
    <w:rsid w:val="007E5F0C"/>
    <w:rsid w:val="007F418C"/>
    <w:rsid w:val="007F4190"/>
    <w:rsid w:val="00833BC9"/>
    <w:rsid w:val="008421DA"/>
    <w:rsid w:val="00845DDE"/>
    <w:rsid w:val="008562F3"/>
    <w:rsid w:val="00861DAA"/>
    <w:rsid w:val="008752D3"/>
    <w:rsid w:val="00895E2E"/>
    <w:rsid w:val="008C791D"/>
    <w:rsid w:val="008E5C8B"/>
    <w:rsid w:val="00912DFC"/>
    <w:rsid w:val="0091301A"/>
    <w:rsid w:val="00946876"/>
    <w:rsid w:val="00951715"/>
    <w:rsid w:val="00995B76"/>
    <w:rsid w:val="009A0F2F"/>
    <w:rsid w:val="009A44DA"/>
    <w:rsid w:val="009C44D0"/>
    <w:rsid w:val="00A01314"/>
    <w:rsid w:val="00A06B6C"/>
    <w:rsid w:val="00A0746E"/>
    <w:rsid w:val="00A229BA"/>
    <w:rsid w:val="00A32381"/>
    <w:rsid w:val="00A331FC"/>
    <w:rsid w:val="00A5040D"/>
    <w:rsid w:val="00A716EF"/>
    <w:rsid w:val="00A775A9"/>
    <w:rsid w:val="00A80DBA"/>
    <w:rsid w:val="00AB084B"/>
    <w:rsid w:val="00AF2D45"/>
    <w:rsid w:val="00B0214F"/>
    <w:rsid w:val="00B34DA4"/>
    <w:rsid w:val="00BC7395"/>
    <w:rsid w:val="00BD4763"/>
    <w:rsid w:val="00BE14A8"/>
    <w:rsid w:val="00C037ED"/>
    <w:rsid w:val="00C12A1D"/>
    <w:rsid w:val="00C136BB"/>
    <w:rsid w:val="00C674D8"/>
    <w:rsid w:val="00C85A15"/>
    <w:rsid w:val="00C920E5"/>
    <w:rsid w:val="00C92856"/>
    <w:rsid w:val="00CA1CD5"/>
    <w:rsid w:val="00CB1FC9"/>
    <w:rsid w:val="00CD5D2B"/>
    <w:rsid w:val="00CE0CD5"/>
    <w:rsid w:val="00CE707D"/>
    <w:rsid w:val="00D01F9C"/>
    <w:rsid w:val="00D02EDA"/>
    <w:rsid w:val="00D263BB"/>
    <w:rsid w:val="00D30A06"/>
    <w:rsid w:val="00D451B7"/>
    <w:rsid w:val="00D45A70"/>
    <w:rsid w:val="00D628B5"/>
    <w:rsid w:val="00D72F66"/>
    <w:rsid w:val="00D83985"/>
    <w:rsid w:val="00D93A48"/>
    <w:rsid w:val="00DB5778"/>
    <w:rsid w:val="00DC44E3"/>
    <w:rsid w:val="00DE63CF"/>
    <w:rsid w:val="00DE68CD"/>
    <w:rsid w:val="00DF393C"/>
    <w:rsid w:val="00DF4F46"/>
    <w:rsid w:val="00DF754C"/>
    <w:rsid w:val="00E01761"/>
    <w:rsid w:val="00E079B6"/>
    <w:rsid w:val="00E1060F"/>
    <w:rsid w:val="00E30DD9"/>
    <w:rsid w:val="00E4516B"/>
    <w:rsid w:val="00E471F4"/>
    <w:rsid w:val="00E629BF"/>
    <w:rsid w:val="00E80AD9"/>
    <w:rsid w:val="00EA0988"/>
    <w:rsid w:val="00EA2F37"/>
    <w:rsid w:val="00EB08DC"/>
    <w:rsid w:val="00EB534D"/>
    <w:rsid w:val="00ED48D1"/>
    <w:rsid w:val="00EF5407"/>
    <w:rsid w:val="00F20F77"/>
    <w:rsid w:val="00F4088C"/>
    <w:rsid w:val="00F45CFF"/>
    <w:rsid w:val="00F6146C"/>
    <w:rsid w:val="00F8295B"/>
    <w:rsid w:val="00FA4451"/>
    <w:rsid w:val="00FA5557"/>
    <w:rsid w:val="00FE3521"/>
    <w:rsid w:val="00FE5D3B"/>
    <w:rsid w:val="01093F7D"/>
    <w:rsid w:val="01227B33"/>
    <w:rsid w:val="02041E86"/>
    <w:rsid w:val="021D06BE"/>
    <w:rsid w:val="0228240D"/>
    <w:rsid w:val="02E23268"/>
    <w:rsid w:val="035B7FC2"/>
    <w:rsid w:val="04887599"/>
    <w:rsid w:val="053022E6"/>
    <w:rsid w:val="05446D9B"/>
    <w:rsid w:val="05DC1890"/>
    <w:rsid w:val="05DC5B01"/>
    <w:rsid w:val="061D3B7E"/>
    <w:rsid w:val="069778EF"/>
    <w:rsid w:val="06B27DD8"/>
    <w:rsid w:val="072766EE"/>
    <w:rsid w:val="07750484"/>
    <w:rsid w:val="078B2285"/>
    <w:rsid w:val="08C85706"/>
    <w:rsid w:val="09246605"/>
    <w:rsid w:val="095E38C5"/>
    <w:rsid w:val="09646104"/>
    <w:rsid w:val="09693C60"/>
    <w:rsid w:val="09AD076D"/>
    <w:rsid w:val="0A5927AB"/>
    <w:rsid w:val="0BD41BEA"/>
    <w:rsid w:val="0C136477"/>
    <w:rsid w:val="0C1F1D91"/>
    <w:rsid w:val="0E320561"/>
    <w:rsid w:val="0ECA37AB"/>
    <w:rsid w:val="11AA723C"/>
    <w:rsid w:val="121E0096"/>
    <w:rsid w:val="12380EBA"/>
    <w:rsid w:val="124A0451"/>
    <w:rsid w:val="131B62A1"/>
    <w:rsid w:val="1384135E"/>
    <w:rsid w:val="13895697"/>
    <w:rsid w:val="13D0222A"/>
    <w:rsid w:val="13E72648"/>
    <w:rsid w:val="1494463F"/>
    <w:rsid w:val="158362F3"/>
    <w:rsid w:val="15947D8E"/>
    <w:rsid w:val="163F05DA"/>
    <w:rsid w:val="169A7E5A"/>
    <w:rsid w:val="16AF0CC7"/>
    <w:rsid w:val="16B965DF"/>
    <w:rsid w:val="16D8458B"/>
    <w:rsid w:val="173F5EE0"/>
    <w:rsid w:val="184E1A0C"/>
    <w:rsid w:val="18576C3A"/>
    <w:rsid w:val="188350F6"/>
    <w:rsid w:val="1A071979"/>
    <w:rsid w:val="1A48390A"/>
    <w:rsid w:val="1A807414"/>
    <w:rsid w:val="1C2269D4"/>
    <w:rsid w:val="1CD04C8C"/>
    <w:rsid w:val="1E6F2F58"/>
    <w:rsid w:val="204A06BA"/>
    <w:rsid w:val="20CE3EA7"/>
    <w:rsid w:val="20F72EBC"/>
    <w:rsid w:val="210C37AF"/>
    <w:rsid w:val="217A2E0F"/>
    <w:rsid w:val="224F6049"/>
    <w:rsid w:val="227053C0"/>
    <w:rsid w:val="233D64B6"/>
    <w:rsid w:val="234E6301"/>
    <w:rsid w:val="237415CC"/>
    <w:rsid w:val="2436735E"/>
    <w:rsid w:val="25150CFB"/>
    <w:rsid w:val="268418BF"/>
    <w:rsid w:val="26A06E73"/>
    <w:rsid w:val="26BE6AA5"/>
    <w:rsid w:val="26C115E8"/>
    <w:rsid w:val="27B04698"/>
    <w:rsid w:val="27C6290A"/>
    <w:rsid w:val="29373393"/>
    <w:rsid w:val="29590121"/>
    <w:rsid w:val="29897672"/>
    <w:rsid w:val="2A2F672C"/>
    <w:rsid w:val="2AA619B7"/>
    <w:rsid w:val="2BCC4267"/>
    <w:rsid w:val="2BEA3C82"/>
    <w:rsid w:val="2C0734F1"/>
    <w:rsid w:val="2C0A4D8F"/>
    <w:rsid w:val="2C7C7A3B"/>
    <w:rsid w:val="2D0C4BDB"/>
    <w:rsid w:val="2D685671"/>
    <w:rsid w:val="2D7D004E"/>
    <w:rsid w:val="2DBE68CC"/>
    <w:rsid w:val="2DCF4E9E"/>
    <w:rsid w:val="2E3F3416"/>
    <w:rsid w:val="2EAE24A3"/>
    <w:rsid w:val="2ED42292"/>
    <w:rsid w:val="2F740E9D"/>
    <w:rsid w:val="2FA2183B"/>
    <w:rsid w:val="2FF11D79"/>
    <w:rsid w:val="30C41C15"/>
    <w:rsid w:val="3124495D"/>
    <w:rsid w:val="31B21BDB"/>
    <w:rsid w:val="32426227"/>
    <w:rsid w:val="32A31478"/>
    <w:rsid w:val="32D4660A"/>
    <w:rsid w:val="32DE50FA"/>
    <w:rsid w:val="33E178AC"/>
    <w:rsid w:val="340B0788"/>
    <w:rsid w:val="347F71DD"/>
    <w:rsid w:val="34F0112A"/>
    <w:rsid w:val="350443FC"/>
    <w:rsid w:val="35E74CD8"/>
    <w:rsid w:val="364614CE"/>
    <w:rsid w:val="36625EF3"/>
    <w:rsid w:val="36A64CA0"/>
    <w:rsid w:val="36C465C6"/>
    <w:rsid w:val="371530A6"/>
    <w:rsid w:val="37857396"/>
    <w:rsid w:val="37985D7C"/>
    <w:rsid w:val="37E551BD"/>
    <w:rsid w:val="37F54B45"/>
    <w:rsid w:val="38F23CF2"/>
    <w:rsid w:val="39917A78"/>
    <w:rsid w:val="3A127C30"/>
    <w:rsid w:val="3A527CEC"/>
    <w:rsid w:val="3A59760D"/>
    <w:rsid w:val="3A681214"/>
    <w:rsid w:val="3ADC3D9A"/>
    <w:rsid w:val="3B9052B1"/>
    <w:rsid w:val="3B9F6467"/>
    <w:rsid w:val="3BBB356F"/>
    <w:rsid w:val="3C68688C"/>
    <w:rsid w:val="3C933952"/>
    <w:rsid w:val="3C9B1B38"/>
    <w:rsid w:val="3CED5EE0"/>
    <w:rsid w:val="3D7A7F77"/>
    <w:rsid w:val="3D7B1F06"/>
    <w:rsid w:val="3EDE747D"/>
    <w:rsid w:val="3F6A6789"/>
    <w:rsid w:val="3FB84907"/>
    <w:rsid w:val="4068438D"/>
    <w:rsid w:val="412A0921"/>
    <w:rsid w:val="424B7E49"/>
    <w:rsid w:val="42B747A8"/>
    <w:rsid w:val="42CD2946"/>
    <w:rsid w:val="435E582A"/>
    <w:rsid w:val="43B835F7"/>
    <w:rsid w:val="447830EB"/>
    <w:rsid w:val="44EB79BF"/>
    <w:rsid w:val="45BF7736"/>
    <w:rsid w:val="45D37F75"/>
    <w:rsid w:val="4603441D"/>
    <w:rsid w:val="46935C55"/>
    <w:rsid w:val="49441489"/>
    <w:rsid w:val="498C3C63"/>
    <w:rsid w:val="49BE748D"/>
    <w:rsid w:val="4AF27ED3"/>
    <w:rsid w:val="4B295DA8"/>
    <w:rsid w:val="4BDA5C54"/>
    <w:rsid w:val="4C03562B"/>
    <w:rsid w:val="4CF34BF9"/>
    <w:rsid w:val="4DC72C47"/>
    <w:rsid w:val="4E0728E4"/>
    <w:rsid w:val="4E8741C6"/>
    <w:rsid w:val="4EBD5F65"/>
    <w:rsid w:val="4F0F1315"/>
    <w:rsid w:val="4F7D557D"/>
    <w:rsid w:val="50FB512F"/>
    <w:rsid w:val="51C539DE"/>
    <w:rsid w:val="52495D62"/>
    <w:rsid w:val="527F6EC1"/>
    <w:rsid w:val="543F40EB"/>
    <w:rsid w:val="54BC1AC3"/>
    <w:rsid w:val="55B856D8"/>
    <w:rsid w:val="55B87486"/>
    <w:rsid w:val="575E5E0B"/>
    <w:rsid w:val="57EF644E"/>
    <w:rsid w:val="594F1C46"/>
    <w:rsid w:val="59B368E2"/>
    <w:rsid w:val="5A6C3E38"/>
    <w:rsid w:val="5A8E6300"/>
    <w:rsid w:val="5ABC3575"/>
    <w:rsid w:val="5B20299D"/>
    <w:rsid w:val="5BC052E6"/>
    <w:rsid w:val="5BD8226E"/>
    <w:rsid w:val="5C574E90"/>
    <w:rsid w:val="5CC46D8F"/>
    <w:rsid w:val="5CD1661A"/>
    <w:rsid w:val="5D250972"/>
    <w:rsid w:val="5D697ED5"/>
    <w:rsid w:val="5D904324"/>
    <w:rsid w:val="5DED5E6A"/>
    <w:rsid w:val="5EA56C13"/>
    <w:rsid w:val="5F05784E"/>
    <w:rsid w:val="5F0B49EB"/>
    <w:rsid w:val="60410FB0"/>
    <w:rsid w:val="60931F97"/>
    <w:rsid w:val="60946491"/>
    <w:rsid w:val="60B10B7F"/>
    <w:rsid w:val="61F23D20"/>
    <w:rsid w:val="62970423"/>
    <w:rsid w:val="629B40CC"/>
    <w:rsid w:val="637E4822"/>
    <w:rsid w:val="63F65886"/>
    <w:rsid w:val="640724CD"/>
    <w:rsid w:val="649B5C35"/>
    <w:rsid w:val="64DA4535"/>
    <w:rsid w:val="658F3FE3"/>
    <w:rsid w:val="65CD29BC"/>
    <w:rsid w:val="65F00576"/>
    <w:rsid w:val="65FF1909"/>
    <w:rsid w:val="66236B9E"/>
    <w:rsid w:val="6792321C"/>
    <w:rsid w:val="67F54B34"/>
    <w:rsid w:val="692073C4"/>
    <w:rsid w:val="696271AD"/>
    <w:rsid w:val="696E6382"/>
    <w:rsid w:val="69F834A3"/>
    <w:rsid w:val="69F94A35"/>
    <w:rsid w:val="6A4D536A"/>
    <w:rsid w:val="6A655DE5"/>
    <w:rsid w:val="6D463172"/>
    <w:rsid w:val="6DB109FC"/>
    <w:rsid w:val="6DBD5004"/>
    <w:rsid w:val="6DED609A"/>
    <w:rsid w:val="6E095305"/>
    <w:rsid w:val="6E276A9B"/>
    <w:rsid w:val="6EA36670"/>
    <w:rsid w:val="6F0B6421"/>
    <w:rsid w:val="6F400306"/>
    <w:rsid w:val="6FC9117A"/>
    <w:rsid w:val="703E7C18"/>
    <w:rsid w:val="70862B2B"/>
    <w:rsid w:val="709A5CAE"/>
    <w:rsid w:val="709F1764"/>
    <w:rsid w:val="70B13A73"/>
    <w:rsid w:val="71333056"/>
    <w:rsid w:val="71EA56F1"/>
    <w:rsid w:val="721523FA"/>
    <w:rsid w:val="725505D3"/>
    <w:rsid w:val="727B325C"/>
    <w:rsid w:val="73102258"/>
    <w:rsid w:val="731710B7"/>
    <w:rsid w:val="735E1767"/>
    <w:rsid w:val="736D3E90"/>
    <w:rsid w:val="740E4A73"/>
    <w:rsid w:val="74145D78"/>
    <w:rsid w:val="74CC0560"/>
    <w:rsid w:val="74DB6895"/>
    <w:rsid w:val="74E97204"/>
    <w:rsid w:val="751122B7"/>
    <w:rsid w:val="7540434E"/>
    <w:rsid w:val="754B7615"/>
    <w:rsid w:val="75656DE5"/>
    <w:rsid w:val="75DC17AF"/>
    <w:rsid w:val="76D72EF8"/>
    <w:rsid w:val="776F3A70"/>
    <w:rsid w:val="7783749C"/>
    <w:rsid w:val="77961B8C"/>
    <w:rsid w:val="780650DE"/>
    <w:rsid w:val="78515BD6"/>
    <w:rsid w:val="78E409EC"/>
    <w:rsid w:val="7900543D"/>
    <w:rsid w:val="79AD25F3"/>
    <w:rsid w:val="7AA81F05"/>
    <w:rsid w:val="7AE85868"/>
    <w:rsid w:val="7BEC38BF"/>
    <w:rsid w:val="7C47503C"/>
    <w:rsid w:val="7C4F1929"/>
    <w:rsid w:val="7C52743D"/>
    <w:rsid w:val="7C8C3E10"/>
    <w:rsid w:val="7CE41F2F"/>
    <w:rsid w:val="7E2C27CE"/>
    <w:rsid w:val="7E4300C4"/>
    <w:rsid w:val="7E657214"/>
    <w:rsid w:val="7EDE0D0C"/>
    <w:rsid w:val="7F3735A7"/>
    <w:rsid w:val="7F9B734D"/>
    <w:rsid w:val="7FBD374C"/>
    <w:rsid w:val="9B3DFD87"/>
    <w:rsid w:val="DFBDCA1D"/>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before="480" w:after="360" w:line="640" w:lineRule="atLeast"/>
      <w:jc w:val="center"/>
      <w:outlineLvl w:val="0"/>
    </w:pPr>
    <w:rPr>
      <w:rFonts w:eastAsia="方正大标宋简体"/>
      <w:color w:val="000000"/>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Indent"/>
    <w:basedOn w:val="1"/>
    <w:next w:val="5"/>
    <w:qFormat/>
    <w:uiPriority w:val="0"/>
    <w:pPr>
      <w:ind w:left="420" w:leftChars="200"/>
    </w:pPr>
    <w:rPr>
      <w:rFonts w:eastAsia="宋体" w:cs="宋体"/>
    </w:rPr>
  </w:style>
  <w:style w:type="paragraph" w:styleId="5">
    <w:name w:val="Body Text First Indent 2"/>
    <w:basedOn w:val="4"/>
    <w:next w:val="1"/>
    <w:qFormat/>
    <w:uiPriority w:val="0"/>
    <w:pPr>
      <w:ind w:firstLine="420"/>
    </w:pPr>
  </w:style>
  <w:style w:type="paragraph" w:styleId="6">
    <w:name w:val="footer"/>
    <w:basedOn w:val="1"/>
    <w:link w:val="15"/>
    <w:qFormat/>
    <w:uiPriority w:val="99"/>
    <w:pPr>
      <w:tabs>
        <w:tab w:val="center" w:pos="4153"/>
        <w:tab w:val="right" w:pos="8306"/>
      </w:tabs>
      <w:snapToGrid w:val="0"/>
      <w:jc w:val="left"/>
    </w:pPr>
    <w:rPr>
      <w:rFonts w:eastAsia="宋体" w:cs="宋体"/>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rFonts w:eastAsia="宋体" w:cs="宋体"/>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Emphasis"/>
    <w:qFormat/>
    <w:uiPriority w:val="0"/>
    <w:rPr>
      <w:rFonts w:ascii="Times New Roman" w:hAnsi="Times New Roman" w:eastAsia="宋体" w:cs="Times New Roman"/>
      <w:i/>
    </w:rPr>
  </w:style>
  <w:style w:type="paragraph" w:customStyle="1" w:styleId="12">
    <w:name w:val="TOC1"/>
    <w:basedOn w:val="1"/>
    <w:next w:val="1"/>
    <w:qFormat/>
    <w:uiPriority w:val="0"/>
    <w:pPr>
      <w:jc w:val="both"/>
      <w:textAlignment w:val="baseline"/>
    </w:pPr>
    <w:rPr>
      <w:rFonts w:ascii="Times New Roman" w:hAnsi="Times New Roman" w:eastAsia="宋体"/>
      <w:kern w:val="2"/>
      <w:sz w:val="21"/>
      <w:szCs w:val="24"/>
      <w:lang w:val="en-US" w:eastAsia="zh-CN" w:bidi="ar-SA"/>
    </w:rPr>
  </w:style>
  <w:style w:type="paragraph" w:customStyle="1" w:styleId="13">
    <w:name w:val="UserStyle_0"/>
    <w:basedOn w:val="14"/>
    <w:next w:val="1"/>
    <w:link w:val="17"/>
    <w:qFormat/>
    <w:uiPriority w:val="0"/>
    <w:pPr>
      <w:overflowPunct w:val="0"/>
      <w:autoSpaceDE w:val="0"/>
      <w:autoSpaceDN w:val="0"/>
      <w:adjustRightInd w:val="0"/>
      <w:spacing w:after="160" w:line="240" w:lineRule="exact"/>
      <w:ind w:firstLine="425"/>
      <w:jc w:val="left"/>
    </w:pPr>
    <w:rPr>
      <w:rFonts w:ascii="Times New Roman" w:hAnsi="Times New Roman" w:eastAsia="仿宋_GB2312" w:cs="Times New Roman"/>
      <w:kern w:val="0"/>
      <w:sz w:val="32"/>
      <w:szCs w:val="22"/>
    </w:rPr>
  </w:style>
  <w:style w:type="paragraph" w:customStyle="1" w:styleId="14">
    <w:name w:val="UserStyle_1"/>
    <w:basedOn w:val="1"/>
    <w:qFormat/>
    <w:uiPriority w:val="0"/>
    <w:pPr>
      <w:spacing w:after="120"/>
      <w:textAlignment w:val="baseline"/>
    </w:pPr>
    <w:rPr>
      <w:rFonts w:eastAsia="宋体" w:cs="宋体"/>
    </w:rPr>
  </w:style>
  <w:style w:type="character" w:customStyle="1" w:styleId="15">
    <w:name w:val="页脚 字符"/>
    <w:link w:val="6"/>
    <w:qFormat/>
    <w:uiPriority w:val="99"/>
    <w:rPr>
      <w:rFonts w:ascii="Calibri" w:hAnsi="Calibri" w:eastAsia="宋体" w:cs="宋体"/>
      <w:kern w:val="2"/>
      <w:sz w:val="18"/>
      <w:szCs w:val="18"/>
    </w:rPr>
  </w:style>
  <w:style w:type="character" w:customStyle="1" w:styleId="16">
    <w:name w:val="页眉 字符"/>
    <w:link w:val="7"/>
    <w:qFormat/>
    <w:uiPriority w:val="0"/>
    <w:rPr>
      <w:rFonts w:ascii="Calibri" w:hAnsi="Calibri" w:eastAsia="宋体" w:cs="宋体"/>
      <w:kern w:val="2"/>
      <w:sz w:val="18"/>
      <w:szCs w:val="18"/>
    </w:rPr>
  </w:style>
  <w:style w:type="character" w:customStyle="1" w:styleId="17">
    <w:name w:val="NormalCharacter"/>
    <w:link w:val="13"/>
    <w:qFormat/>
    <w:uiPriority w:val="0"/>
    <w:rPr>
      <w:rFonts w:ascii="Times New Roman" w:hAnsi="Times New Roman" w:eastAsia="仿宋_GB2312" w:cs="Times New Roman"/>
      <w:sz w:val="32"/>
      <w:szCs w:val="22"/>
    </w:rPr>
  </w:style>
  <w:style w:type="character" w:customStyle="1" w:styleId="18">
    <w:name w:val="s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9909</Words>
  <Characters>10410</Characters>
  <Lines>0</Lines>
  <Paragraphs>0</Paragraphs>
  <TotalTime>21</TotalTime>
  <ScaleCrop>false</ScaleCrop>
  <LinksUpToDate>false</LinksUpToDate>
  <CharactersWithSpaces>10412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2021-09-28T15:10:00Z</dcterms:created>
  <dc:creator>Administrator</dc:creator>
  <cp:lastModifiedBy>洋</cp:lastModifiedBy>
  <dcterms:modified xsi:type="dcterms:W3CDTF">2023-05-16T03:17:04Z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50FD803C53864CBDA8C38271DF58993F</vt:lpwstr>
  </property>
</Properties>
</file>