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8F" w:rsidRDefault="009E44F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郑州市二七</w:t>
      </w:r>
      <w:r>
        <w:rPr>
          <w:rFonts w:ascii="方正小标宋简体" w:eastAsia="方正小标宋简体" w:hAnsi="方正小标宋简体" w:cs="方正小标宋简体" w:hint="eastAsia"/>
          <w:sz w:val="44"/>
          <w:szCs w:val="44"/>
        </w:rPr>
        <w:t>区</w:t>
      </w:r>
      <w:r>
        <w:rPr>
          <w:rFonts w:ascii="方正小标宋简体" w:eastAsia="方正小标宋简体" w:hAnsi="方正小标宋简体" w:cs="方正小标宋简体" w:hint="eastAsia"/>
          <w:sz w:val="44"/>
          <w:szCs w:val="44"/>
        </w:rPr>
        <w:t>建设</w:t>
      </w:r>
      <w:r>
        <w:rPr>
          <w:rFonts w:ascii="方正小标宋简体" w:eastAsia="方正小标宋简体" w:hAnsi="方正小标宋简体" w:cs="方正小标宋简体" w:hint="eastAsia"/>
          <w:sz w:val="44"/>
          <w:szCs w:val="44"/>
        </w:rPr>
        <w:t>和交通</w:t>
      </w:r>
      <w:r>
        <w:rPr>
          <w:rFonts w:ascii="方正小标宋简体" w:eastAsia="方正小标宋简体" w:hAnsi="方正小标宋简体" w:cs="方正小标宋简体" w:hint="eastAsia"/>
          <w:sz w:val="44"/>
          <w:szCs w:val="44"/>
        </w:rPr>
        <w:t>局</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20</w:t>
      </w:r>
      <w:r>
        <w:rPr>
          <w:rFonts w:ascii="方正小标宋简体" w:eastAsia="方正小标宋简体" w:hAnsi="方正小标宋简体" w:cs="方正小标宋简体" w:hint="eastAsia"/>
          <w:sz w:val="44"/>
          <w:szCs w:val="44"/>
        </w:rPr>
        <w:t>年政府信息公开</w:t>
      </w:r>
      <w:r>
        <w:rPr>
          <w:rFonts w:ascii="方正小标宋简体" w:eastAsia="方正小标宋简体" w:hAnsi="方正小标宋简体" w:cs="方正小标宋简体" w:hint="eastAsia"/>
          <w:sz w:val="44"/>
          <w:szCs w:val="44"/>
        </w:rPr>
        <w:t>工作年度报告</w:t>
      </w:r>
    </w:p>
    <w:p w:rsidR="005F148F" w:rsidRDefault="005F148F">
      <w:pPr>
        <w:jc w:val="center"/>
        <w:rPr>
          <w:rFonts w:ascii="方正小标宋简体" w:eastAsia="方正小标宋简体" w:hAnsi="方正小标宋简体" w:cs="方正小标宋简体"/>
          <w:sz w:val="44"/>
          <w:szCs w:val="44"/>
        </w:rPr>
      </w:pP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根据《中华人民共和国政府信息公开条例》文件的相关精神，按照省、市、区有关要求，扎实贯彻国家和省、市、区关于政府信息公开工作的有关要求，坚持依法行政，深化信息公开，保障人民群众的知情权、参与权和监督权。同时以提高工作效率和服务水平为重点，不断创新工作思路，狠抓工作责任落实，确保全区</w:t>
      </w:r>
      <w:r>
        <w:rPr>
          <w:rFonts w:ascii="仿宋" w:eastAsia="仿宋" w:hAnsi="仿宋" w:cs="仿宋" w:hint="eastAsia"/>
          <w:sz w:val="32"/>
          <w:szCs w:val="32"/>
        </w:rPr>
        <w:t>城建城管建设健康发展</w:t>
      </w:r>
      <w:r>
        <w:rPr>
          <w:rFonts w:ascii="仿宋" w:eastAsia="仿宋" w:hAnsi="仿宋" w:cs="仿宋" w:hint="eastAsia"/>
          <w:sz w:val="32"/>
          <w:szCs w:val="32"/>
        </w:rPr>
        <w:t>。现将</w:t>
      </w:r>
      <w:r>
        <w:rPr>
          <w:rFonts w:ascii="仿宋" w:eastAsia="仿宋" w:hAnsi="仿宋" w:cs="仿宋" w:hint="eastAsia"/>
          <w:sz w:val="32"/>
          <w:szCs w:val="32"/>
        </w:rPr>
        <w:t>2020</w:t>
      </w:r>
      <w:r>
        <w:rPr>
          <w:rFonts w:ascii="仿宋" w:eastAsia="仿宋" w:hAnsi="仿宋" w:cs="仿宋" w:hint="eastAsia"/>
          <w:sz w:val="32"/>
          <w:szCs w:val="32"/>
        </w:rPr>
        <w:t>年政府信息公开工作的总结情况报告如下：</w:t>
      </w:r>
    </w:p>
    <w:p w:rsidR="005F148F" w:rsidRDefault="009E44FD">
      <w:pPr>
        <w:ind w:firstLineChars="200" w:firstLine="640"/>
        <w:rPr>
          <w:rFonts w:ascii="仿宋" w:eastAsia="仿宋" w:hAnsi="仿宋" w:cs="仿宋"/>
          <w:sz w:val="32"/>
          <w:szCs w:val="32"/>
        </w:rPr>
      </w:pPr>
      <w:r>
        <w:rPr>
          <w:rFonts w:ascii="黑体" w:eastAsia="黑体" w:hAnsi="黑体" w:cs="黑体" w:hint="eastAsia"/>
          <w:sz w:val="32"/>
          <w:szCs w:val="32"/>
        </w:rPr>
        <w:t>一、强化领导、健全机制</w:t>
      </w:r>
    </w:p>
    <w:p w:rsidR="005F148F" w:rsidRDefault="009E44FD">
      <w:pPr>
        <w:ind w:firstLineChars="200" w:firstLine="643"/>
        <w:rPr>
          <w:rFonts w:ascii="仿宋" w:eastAsia="仿宋" w:hAnsi="仿宋" w:cs="仿宋"/>
          <w:sz w:val="32"/>
          <w:szCs w:val="32"/>
        </w:rPr>
      </w:pPr>
      <w:r>
        <w:rPr>
          <w:rFonts w:ascii="楷体" w:eastAsia="楷体" w:hAnsi="楷体" w:cs="楷体" w:hint="eastAsia"/>
          <w:b/>
          <w:bCs/>
          <w:sz w:val="32"/>
          <w:szCs w:val="32"/>
        </w:rPr>
        <w:t>（一）成立领导小组。</w:t>
      </w:r>
      <w:r>
        <w:rPr>
          <w:rFonts w:ascii="仿宋" w:eastAsia="仿宋" w:hAnsi="仿宋" w:cs="仿宋" w:hint="eastAsia"/>
          <w:sz w:val="32"/>
          <w:szCs w:val="32"/>
        </w:rPr>
        <w:t>局领导班子十分重视政府信息公开工作的开展，成立由局长</w:t>
      </w:r>
      <w:r>
        <w:rPr>
          <w:rFonts w:ascii="仿宋" w:eastAsia="仿宋" w:hAnsi="仿宋" w:cs="仿宋" w:hint="eastAsia"/>
          <w:sz w:val="32"/>
          <w:szCs w:val="32"/>
        </w:rPr>
        <w:t>、党组书记刘京威</w:t>
      </w:r>
      <w:r>
        <w:rPr>
          <w:rFonts w:ascii="仿宋" w:eastAsia="仿宋" w:hAnsi="仿宋" w:cs="仿宋" w:hint="eastAsia"/>
          <w:sz w:val="32"/>
          <w:szCs w:val="32"/>
        </w:rPr>
        <w:t>组长，班子成员</w:t>
      </w:r>
      <w:r>
        <w:rPr>
          <w:rFonts w:ascii="仿宋" w:eastAsia="仿宋" w:hAnsi="仿宋" w:cs="仿宋" w:hint="eastAsia"/>
          <w:sz w:val="32"/>
          <w:szCs w:val="32"/>
        </w:rPr>
        <w:t>张忠彦、谷德春、</w:t>
      </w:r>
      <w:r>
        <w:rPr>
          <w:rFonts w:ascii="仿宋" w:eastAsia="仿宋" w:hAnsi="仿宋" w:cs="仿宋" w:hint="eastAsia"/>
          <w:sz w:val="32"/>
          <w:szCs w:val="32"/>
        </w:rPr>
        <w:t>李应涛、程中启、郑涛、</w:t>
      </w:r>
      <w:r>
        <w:rPr>
          <w:rFonts w:ascii="仿宋" w:eastAsia="仿宋" w:hAnsi="仿宋" w:cs="仿宋" w:hint="eastAsia"/>
          <w:sz w:val="32"/>
          <w:szCs w:val="32"/>
        </w:rPr>
        <w:t>傅光成、</w:t>
      </w:r>
      <w:r>
        <w:rPr>
          <w:rFonts w:ascii="仿宋" w:eastAsia="仿宋" w:hAnsi="仿宋" w:cs="仿宋" w:hint="eastAsia"/>
          <w:sz w:val="32"/>
          <w:szCs w:val="32"/>
        </w:rPr>
        <w:t>陈辉、</w:t>
      </w:r>
      <w:r>
        <w:rPr>
          <w:rFonts w:ascii="仿宋" w:eastAsia="仿宋" w:hAnsi="仿宋" w:cs="仿宋" w:hint="eastAsia"/>
          <w:sz w:val="32"/>
          <w:szCs w:val="32"/>
        </w:rPr>
        <w:t>魏守光、</w:t>
      </w:r>
      <w:r>
        <w:rPr>
          <w:rFonts w:ascii="仿宋" w:eastAsia="仿宋" w:hAnsi="仿宋" w:cs="仿宋" w:hint="eastAsia"/>
          <w:sz w:val="32"/>
          <w:szCs w:val="32"/>
        </w:rPr>
        <w:t>帖雷、</w:t>
      </w:r>
      <w:r>
        <w:rPr>
          <w:rFonts w:ascii="仿宋" w:eastAsia="仿宋" w:hAnsi="仿宋" w:cs="仿宋" w:hint="eastAsia"/>
          <w:sz w:val="32"/>
          <w:szCs w:val="32"/>
        </w:rPr>
        <w:t>刘明涛</w:t>
      </w:r>
      <w:r>
        <w:rPr>
          <w:rFonts w:ascii="仿宋" w:eastAsia="仿宋" w:hAnsi="仿宋" w:cs="仿宋" w:hint="eastAsia"/>
          <w:sz w:val="32"/>
          <w:szCs w:val="32"/>
        </w:rPr>
        <w:t>任副组长，各科室负责人作为成员的</w:t>
      </w:r>
      <w:r>
        <w:rPr>
          <w:rFonts w:ascii="仿宋" w:eastAsia="仿宋" w:hAnsi="仿宋" w:cs="仿宋" w:hint="eastAsia"/>
          <w:sz w:val="32"/>
          <w:szCs w:val="32"/>
        </w:rPr>
        <w:t>信息公开工作领导小组，下设办公室，具体负责信息公开相关工作，</w:t>
      </w:r>
      <w:r>
        <w:rPr>
          <w:rFonts w:ascii="仿宋" w:eastAsia="仿宋" w:hAnsi="仿宋" w:cs="仿宋" w:hint="eastAsia"/>
          <w:sz w:val="32"/>
          <w:szCs w:val="32"/>
        </w:rPr>
        <w:t>确保政府信息公开</w:t>
      </w:r>
      <w:r>
        <w:rPr>
          <w:rFonts w:ascii="仿宋" w:eastAsia="仿宋" w:hAnsi="仿宋" w:cs="仿宋" w:hint="eastAsia"/>
          <w:sz w:val="32"/>
          <w:szCs w:val="32"/>
        </w:rPr>
        <w:t>有序进行</w:t>
      </w:r>
      <w:r>
        <w:rPr>
          <w:rFonts w:ascii="仿宋" w:eastAsia="仿宋" w:hAnsi="仿宋" w:cs="仿宋" w:hint="eastAsia"/>
          <w:sz w:val="32"/>
          <w:szCs w:val="32"/>
        </w:rPr>
        <w:t>。</w:t>
      </w:r>
    </w:p>
    <w:p w:rsidR="005F148F" w:rsidRDefault="009E44FD">
      <w:pPr>
        <w:ind w:firstLineChars="200" w:firstLine="643"/>
        <w:rPr>
          <w:rFonts w:ascii="仿宋" w:eastAsia="仿宋" w:hAnsi="仿宋" w:cs="仿宋"/>
          <w:sz w:val="32"/>
          <w:szCs w:val="32"/>
        </w:rPr>
      </w:pPr>
      <w:r>
        <w:rPr>
          <w:rFonts w:ascii="楷体" w:eastAsia="楷体" w:hAnsi="楷体" w:cs="楷体" w:hint="eastAsia"/>
          <w:b/>
          <w:bCs/>
          <w:sz w:val="32"/>
          <w:szCs w:val="32"/>
        </w:rPr>
        <w:t>（二）落实责任制度。</w:t>
      </w:r>
      <w:r>
        <w:rPr>
          <w:rFonts w:ascii="仿宋" w:eastAsia="仿宋" w:hAnsi="仿宋" w:cs="仿宋" w:hint="eastAsia"/>
          <w:sz w:val="32"/>
          <w:szCs w:val="32"/>
        </w:rPr>
        <w:t>制定《信息公开工作制度》，明确班子成员为分管领导，安排专人负责信息公开工作，并加大对信息公开专职人员的培训力度，提高工作能力和水平。按照区</w:t>
      </w:r>
      <w:r>
        <w:rPr>
          <w:rFonts w:ascii="仿宋" w:eastAsia="仿宋" w:hAnsi="仿宋" w:cs="仿宋" w:hint="eastAsia"/>
          <w:sz w:val="32"/>
          <w:szCs w:val="32"/>
        </w:rPr>
        <w:lastRenderedPageBreak/>
        <w:t>关于进一步规范信息公开的相关要求，对操作流程进一步细化，保证公开政府信息做到有规</w:t>
      </w:r>
      <w:r>
        <w:rPr>
          <w:rFonts w:ascii="仿宋" w:eastAsia="仿宋" w:hAnsi="仿宋" w:cs="仿宋" w:hint="eastAsia"/>
          <w:sz w:val="32"/>
          <w:szCs w:val="32"/>
        </w:rPr>
        <w:t>有矩。</w:t>
      </w: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t>二、政府信息公开情况</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年，我局将信息公开等有关制度纳入规范化管理，一是</w:t>
      </w:r>
      <w:r>
        <w:rPr>
          <w:rFonts w:ascii="仿宋" w:eastAsia="仿宋" w:hAnsi="仿宋" w:cs="仿宋" w:hint="eastAsia"/>
          <w:sz w:val="32"/>
          <w:szCs w:val="32"/>
        </w:rPr>
        <w:t>按照规定要求，主动定期公开工作动态、领导动态、工作总结、财政预决算、工作通知等文件；二是对公开时限、公开内容、公开形式和公开范围进一步明确，对依申请公开事项的申请步骤、办理程序等相关事项进行公开，并设置</w:t>
      </w:r>
      <w:r>
        <w:rPr>
          <w:rFonts w:ascii="仿宋" w:eastAsia="仿宋" w:hAnsi="仿宋" w:cs="仿宋" w:hint="eastAsia"/>
          <w:sz w:val="32"/>
          <w:szCs w:val="32"/>
        </w:rPr>
        <w:t>24</w:t>
      </w:r>
      <w:r>
        <w:rPr>
          <w:rFonts w:ascii="仿宋" w:eastAsia="仿宋" w:hAnsi="仿宋" w:cs="仿宋" w:hint="eastAsia"/>
          <w:sz w:val="32"/>
          <w:szCs w:val="32"/>
        </w:rPr>
        <w:t>小时监督举报电话，上下齐动的工作机制已经形成。三是进一步完善日常运行制度，严格落实分工，对责任要求进一步明确，确保更新及时。四是构建保密审查制度。按照谁主管、谁负责、谁发布、谁担责的原则，严格落实涉密信息不上网。</w:t>
      </w: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5F148F">
      <w:pPr>
        <w:ind w:firstLineChars="200" w:firstLine="640"/>
        <w:rPr>
          <w:rFonts w:ascii="仿宋" w:eastAsia="仿宋" w:hAnsi="仿宋" w:cs="仿宋"/>
          <w:sz w:val="32"/>
          <w:szCs w:val="32"/>
        </w:rPr>
      </w:pP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t>三、主动公开政府信息情况</w:t>
      </w:r>
    </w:p>
    <w:tbl>
      <w:tblPr>
        <w:tblW w:w="8140" w:type="dxa"/>
        <w:jc w:val="center"/>
        <w:tblLayout w:type="fixed"/>
        <w:tblCellMar>
          <w:top w:w="15" w:type="dxa"/>
          <w:left w:w="15" w:type="dxa"/>
          <w:bottom w:w="15" w:type="dxa"/>
          <w:right w:w="15" w:type="dxa"/>
        </w:tblCellMar>
        <w:tblLook w:val="04A0"/>
      </w:tblPr>
      <w:tblGrid>
        <w:gridCol w:w="3113"/>
        <w:gridCol w:w="1875"/>
        <w:gridCol w:w="6"/>
        <w:gridCol w:w="1265"/>
        <w:gridCol w:w="1881"/>
      </w:tblGrid>
      <w:tr w:rsidR="005F148F">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第二十条第（一）项</w:t>
            </w:r>
          </w:p>
        </w:tc>
      </w:tr>
      <w:tr w:rsidR="005F148F">
        <w:trPr>
          <w:trHeight w:val="598"/>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本年新</w:t>
            </w:r>
            <w:r>
              <w:rPr>
                <w:rFonts w:ascii="宋体" w:eastAsia="宋体" w:hAnsi="宋体" w:cs="宋体" w:hint="eastAsia"/>
                <w:color w:val="000000"/>
                <w:kern w:val="0"/>
                <w:sz w:val="20"/>
                <w:szCs w:val="20"/>
                <w:lang/>
              </w:rPr>
              <w:br/>
            </w:r>
            <w:r>
              <w:rPr>
                <w:color w:val="000000"/>
                <w:kern w:val="0"/>
                <w:sz w:val="20"/>
                <w:szCs w:val="20"/>
                <w:lang/>
              </w:rPr>
              <w:t>制作数量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本年新</w:t>
            </w:r>
            <w:r>
              <w:rPr>
                <w:rFonts w:ascii="宋体" w:eastAsia="宋体" w:hAnsi="宋体" w:cs="宋体" w:hint="eastAsia"/>
                <w:color w:val="000000"/>
                <w:kern w:val="0"/>
                <w:sz w:val="20"/>
                <w:szCs w:val="20"/>
                <w:lang/>
              </w:rPr>
              <w:br/>
            </w:r>
            <w:r>
              <w:rPr>
                <w:color w:val="000000"/>
                <w:kern w:val="0"/>
                <w:sz w:val="20"/>
                <w:szCs w:val="20"/>
                <w:lang/>
              </w:rPr>
              <w:t>公开数量</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对外公开总数量</w:t>
            </w:r>
          </w:p>
        </w:tc>
      </w:tr>
      <w:tr w:rsidR="005F148F">
        <w:trPr>
          <w:trHeight w:val="392"/>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规章</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0</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r>
      <w:tr w:rsidR="005F148F">
        <w:trPr>
          <w:trHeight w:val="372"/>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规范性文件</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r>
      <w:tr w:rsidR="005F148F">
        <w:trPr>
          <w:trHeight w:val="426"/>
          <w:jc w:val="center"/>
        </w:trPr>
        <w:tc>
          <w:tcPr>
            <w:tcW w:w="8140"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第二十条第（五）项</w:t>
            </w:r>
          </w:p>
        </w:tc>
      </w:tr>
      <w:tr w:rsidR="005F148F">
        <w:trPr>
          <w:trHeight w:val="525"/>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本年增</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减</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处理决定数量</w:t>
            </w:r>
          </w:p>
        </w:tc>
      </w:tr>
      <w:tr w:rsidR="005F148F">
        <w:trPr>
          <w:trHeight w:val="386"/>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行政许可</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199</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rPr>
              <w:t>－</w:t>
            </w:r>
            <w:bookmarkStart w:id="0" w:name="_GoBack"/>
            <w:bookmarkEnd w:id="0"/>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60</w:t>
            </w:r>
          </w:p>
        </w:tc>
      </w:tr>
      <w:tr w:rsidR="005F148F">
        <w:trPr>
          <w:trHeight w:val="408"/>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其他对外管理服务事项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r>
      <w:tr w:rsidR="005F148F">
        <w:trPr>
          <w:trHeight w:val="341"/>
          <w:jc w:val="center"/>
        </w:trPr>
        <w:tc>
          <w:tcPr>
            <w:tcW w:w="8140"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第二十条第（六）项</w:t>
            </w:r>
          </w:p>
        </w:tc>
      </w:tr>
      <w:tr w:rsidR="005F148F">
        <w:trPr>
          <w:trHeight w:val="634"/>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信息内容</w:t>
            </w:r>
          </w:p>
        </w:tc>
        <w:tc>
          <w:tcPr>
            <w:tcW w:w="1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本年增</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减</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处理决定数量</w:t>
            </w:r>
          </w:p>
        </w:tc>
      </w:tr>
      <w:tr w:rsidR="005F148F">
        <w:trPr>
          <w:trHeight w:val="90"/>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行政处罚</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r>
      <w:tr w:rsidR="005F148F">
        <w:trPr>
          <w:trHeight w:val="409"/>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行政强制</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r>
      <w:tr w:rsidR="005F148F">
        <w:trPr>
          <w:trHeight w:val="386"/>
          <w:jc w:val="center"/>
        </w:trPr>
        <w:tc>
          <w:tcPr>
            <w:tcW w:w="8140"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第二十条第（八）项</w:t>
            </w:r>
          </w:p>
        </w:tc>
      </w:tr>
      <w:tr w:rsidR="005F148F">
        <w:trPr>
          <w:trHeight w:val="90"/>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信息内容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本年增</w:t>
            </w:r>
            <w:r>
              <w:rPr>
                <w:rFonts w:ascii="宋体" w:eastAsia="宋体" w:hAnsi="宋体" w:cs="宋体" w:hint="eastAsia"/>
                <w:color w:val="000000"/>
                <w:kern w:val="0"/>
                <w:sz w:val="20"/>
                <w:szCs w:val="20"/>
                <w:lang/>
              </w:rPr>
              <w:t>/</w:t>
            </w:r>
            <w:r>
              <w:rPr>
                <w:rFonts w:ascii="宋体" w:eastAsia="宋体" w:hAnsi="宋体" w:cs="宋体" w:hint="eastAsia"/>
                <w:color w:val="000000"/>
                <w:kern w:val="0"/>
                <w:sz w:val="20"/>
                <w:szCs w:val="20"/>
                <w:lang/>
              </w:rPr>
              <w:t>减</w:t>
            </w:r>
          </w:p>
        </w:tc>
      </w:tr>
      <w:tr w:rsidR="005F148F">
        <w:trPr>
          <w:trHeight w:val="355"/>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行政事业性收费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3146"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r>
      <w:tr w:rsidR="005F148F">
        <w:trPr>
          <w:trHeight w:val="334"/>
          <w:jc w:val="center"/>
        </w:trPr>
        <w:tc>
          <w:tcPr>
            <w:tcW w:w="8140"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第二十条第（九）项</w:t>
            </w:r>
          </w:p>
        </w:tc>
      </w:tr>
      <w:tr w:rsidR="005F148F">
        <w:trPr>
          <w:trHeight w:val="585"/>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信息内容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采购总金额</w:t>
            </w:r>
          </w:p>
        </w:tc>
      </w:tr>
      <w:tr w:rsidR="005F148F">
        <w:trPr>
          <w:trHeight w:val="417"/>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政府集中采购</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hint="eastAsia"/>
                <w:color w:val="000000"/>
                <w:sz w:val="24"/>
              </w:rPr>
              <w:t>25</w:t>
            </w:r>
            <w:r>
              <w:rPr>
                <w:rFonts w:ascii="宋体" w:hint="eastAsia"/>
                <w:color w:val="000000"/>
                <w:sz w:val="24"/>
              </w:rPr>
              <w:t>个</w:t>
            </w:r>
          </w:p>
        </w:tc>
        <w:tc>
          <w:tcPr>
            <w:tcW w:w="3146"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5F148F" w:rsidRDefault="009E44FD">
            <w:pPr>
              <w:jc w:val="center"/>
              <w:rPr>
                <w:rFonts w:ascii="宋体"/>
                <w:color w:val="000000"/>
                <w:sz w:val="24"/>
              </w:rPr>
            </w:pPr>
            <w:r>
              <w:rPr>
                <w:rFonts w:ascii="宋体" w:hint="eastAsia"/>
                <w:color w:val="000000"/>
                <w:sz w:val="24"/>
              </w:rPr>
              <w:t>56742</w:t>
            </w:r>
            <w:r>
              <w:rPr>
                <w:rFonts w:ascii="宋体" w:hint="eastAsia"/>
                <w:color w:val="000000"/>
                <w:sz w:val="24"/>
              </w:rPr>
              <w:t>.</w:t>
            </w:r>
            <w:r>
              <w:rPr>
                <w:rFonts w:ascii="宋体" w:hint="eastAsia"/>
                <w:color w:val="000000"/>
                <w:sz w:val="24"/>
              </w:rPr>
              <w:t>1644</w:t>
            </w:r>
            <w:r>
              <w:rPr>
                <w:rFonts w:ascii="宋体" w:hint="eastAsia"/>
                <w:color w:val="000000"/>
                <w:sz w:val="24"/>
              </w:rPr>
              <w:t>万元</w:t>
            </w:r>
          </w:p>
        </w:tc>
      </w:tr>
    </w:tbl>
    <w:p w:rsidR="005F148F" w:rsidRDefault="005F148F" w:rsidP="00896F11">
      <w:pPr>
        <w:pStyle w:val="a5"/>
        <w:widowControl/>
        <w:snapToGrid w:val="0"/>
        <w:spacing w:beforeAutospacing="0" w:afterLines="50" w:afterAutospacing="0" w:line="500" w:lineRule="exact"/>
        <w:ind w:firstLineChars="200" w:firstLine="640"/>
        <w:jc w:val="both"/>
        <w:rPr>
          <w:rFonts w:ascii="黑体" w:eastAsia="黑体" w:hAnsi="黑体" w:cs="黑体"/>
          <w:kern w:val="2"/>
          <w:sz w:val="32"/>
          <w:szCs w:val="32"/>
        </w:rPr>
      </w:pPr>
    </w:p>
    <w:p w:rsidR="005F148F" w:rsidRDefault="005F148F" w:rsidP="00896F11">
      <w:pPr>
        <w:pStyle w:val="a5"/>
        <w:widowControl/>
        <w:snapToGrid w:val="0"/>
        <w:spacing w:beforeAutospacing="0" w:afterLines="50" w:afterAutospacing="0" w:line="500" w:lineRule="exact"/>
        <w:ind w:firstLineChars="200" w:firstLine="640"/>
        <w:jc w:val="both"/>
        <w:rPr>
          <w:rFonts w:ascii="黑体" w:eastAsia="黑体" w:hAnsi="黑体" w:cs="黑体"/>
          <w:kern w:val="2"/>
          <w:sz w:val="32"/>
          <w:szCs w:val="32"/>
        </w:rPr>
      </w:pPr>
    </w:p>
    <w:p w:rsidR="005F148F" w:rsidRDefault="005F148F" w:rsidP="00896F11">
      <w:pPr>
        <w:pStyle w:val="a5"/>
        <w:widowControl/>
        <w:snapToGrid w:val="0"/>
        <w:spacing w:beforeAutospacing="0" w:afterLines="50" w:afterAutospacing="0" w:line="500" w:lineRule="exact"/>
        <w:ind w:firstLineChars="200" w:firstLine="640"/>
        <w:jc w:val="both"/>
        <w:rPr>
          <w:rFonts w:ascii="黑体" w:eastAsia="黑体" w:hAnsi="黑体" w:cs="黑体"/>
          <w:kern w:val="2"/>
          <w:sz w:val="32"/>
          <w:szCs w:val="32"/>
        </w:rPr>
      </w:pPr>
    </w:p>
    <w:p w:rsidR="005F148F" w:rsidRDefault="005F148F" w:rsidP="00896F11">
      <w:pPr>
        <w:pStyle w:val="a5"/>
        <w:widowControl/>
        <w:snapToGrid w:val="0"/>
        <w:spacing w:beforeAutospacing="0" w:afterLines="50" w:afterAutospacing="0" w:line="500" w:lineRule="exact"/>
        <w:ind w:firstLineChars="200" w:firstLine="640"/>
        <w:jc w:val="both"/>
        <w:rPr>
          <w:rFonts w:ascii="黑体" w:eastAsia="黑体" w:hAnsi="黑体" w:cs="黑体"/>
          <w:kern w:val="2"/>
          <w:sz w:val="32"/>
          <w:szCs w:val="32"/>
        </w:rPr>
      </w:pPr>
    </w:p>
    <w:p w:rsidR="005F148F" w:rsidRDefault="005F148F" w:rsidP="00896F11">
      <w:pPr>
        <w:pStyle w:val="a5"/>
        <w:widowControl/>
        <w:snapToGrid w:val="0"/>
        <w:spacing w:beforeAutospacing="0" w:afterLines="50" w:afterAutospacing="0" w:line="500" w:lineRule="exact"/>
        <w:ind w:firstLineChars="200" w:firstLine="640"/>
        <w:jc w:val="both"/>
        <w:rPr>
          <w:rFonts w:ascii="黑体" w:eastAsia="黑体" w:hAnsi="黑体" w:cs="黑体"/>
          <w:kern w:val="2"/>
          <w:sz w:val="32"/>
          <w:szCs w:val="32"/>
        </w:rPr>
      </w:pPr>
    </w:p>
    <w:p w:rsidR="005F148F" w:rsidRDefault="005F148F" w:rsidP="00896F11">
      <w:pPr>
        <w:pStyle w:val="a5"/>
        <w:widowControl/>
        <w:snapToGrid w:val="0"/>
        <w:spacing w:beforeAutospacing="0" w:afterLines="50" w:afterAutospacing="0" w:line="500" w:lineRule="exact"/>
        <w:jc w:val="both"/>
        <w:rPr>
          <w:rFonts w:ascii="黑体" w:eastAsia="黑体" w:hAnsi="黑体" w:cs="黑体"/>
          <w:kern w:val="2"/>
          <w:sz w:val="32"/>
          <w:szCs w:val="32"/>
        </w:rPr>
      </w:pP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lastRenderedPageBreak/>
        <w:t>四、收到和处理政府信息公开申请情况</w:t>
      </w:r>
    </w:p>
    <w:tbl>
      <w:tblPr>
        <w:tblW w:w="9676"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148"/>
        <w:gridCol w:w="759"/>
        <w:gridCol w:w="2254"/>
        <w:gridCol w:w="813"/>
        <w:gridCol w:w="755"/>
        <w:gridCol w:w="755"/>
        <w:gridCol w:w="813"/>
        <w:gridCol w:w="973"/>
        <w:gridCol w:w="711"/>
        <w:gridCol w:w="695"/>
      </w:tblGrid>
      <w:tr w:rsidR="005F148F">
        <w:tc>
          <w:tcPr>
            <w:tcW w:w="4161" w:type="dxa"/>
            <w:gridSpan w:val="3"/>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（本列数据的勾稽关系为：第一项加第二项之和，等于第三项加第四项之和）</w:t>
            </w:r>
          </w:p>
        </w:tc>
        <w:tc>
          <w:tcPr>
            <w:tcW w:w="5515"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申请人情况</w:t>
            </w:r>
          </w:p>
        </w:tc>
      </w:tr>
      <w:tr w:rsidR="005F148F">
        <w:tc>
          <w:tcPr>
            <w:tcW w:w="4161" w:type="dxa"/>
            <w:gridSpan w:val="3"/>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81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自然人</w:t>
            </w:r>
          </w:p>
        </w:tc>
        <w:tc>
          <w:tcPr>
            <w:tcW w:w="400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法人或其他组织</w:t>
            </w:r>
          </w:p>
        </w:tc>
        <w:tc>
          <w:tcPr>
            <w:tcW w:w="69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总计</w:t>
            </w:r>
          </w:p>
        </w:tc>
      </w:tr>
      <w:tr w:rsidR="005F148F">
        <w:tc>
          <w:tcPr>
            <w:tcW w:w="4161" w:type="dxa"/>
            <w:gridSpan w:val="3"/>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813"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商业企业</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科研机构</w:t>
            </w:r>
          </w:p>
        </w:tc>
        <w:tc>
          <w:tcPr>
            <w:tcW w:w="8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社会公益组织</w:t>
            </w:r>
          </w:p>
        </w:tc>
        <w:tc>
          <w:tcPr>
            <w:tcW w:w="9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法律服务机构</w:t>
            </w:r>
          </w:p>
        </w:tc>
        <w:tc>
          <w:tcPr>
            <w:tcW w:w="7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其他</w:t>
            </w:r>
          </w:p>
        </w:tc>
        <w:tc>
          <w:tcPr>
            <w:tcW w:w="695"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r>
      <w:tr w:rsidR="005F148F">
        <w:tc>
          <w:tcPr>
            <w:tcW w:w="416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一、本年新收政府信息公开申请数量</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29</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29</w:t>
            </w:r>
          </w:p>
        </w:tc>
      </w:tr>
      <w:tr w:rsidR="005F148F">
        <w:tc>
          <w:tcPr>
            <w:tcW w:w="416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二、上年结转政府信息公开申请数量</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三、本年度办理结果</w:t>
            </w:r>
          </w:p>
        </w:tc>
        <w:tc>
          <w:tcPr>
            <w:tcW w:w="30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color w:val="000000"/>
                <w:kern w:val="0"/>
                <w:sz w:val="20"/>
                <w:szCs w:val="20"/>
                <w:lang/>
              </w:rPr>
              <w:t>（一）予以公开</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14</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14</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30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（二）部分公开（区分处理的，只计这一情形，不计其他情形）</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（三）不予公开</w:t>
            </w: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1.</w:t>
            </w:r>
            <w:r>
              <w:rPr>
                <w:rFonts w:ascii="楷体" w:eastAsia="楷体" w:hAnsi="楷体" w:cs="楷体" w:hint="eastAsia"/>
                <w:color w:val="000000"/>
                <w:kern w:val="0"/>
                <w:sz w:val="20"/>
                <w:szCs w:val="20"/>
                <w:lang/>
              </w:rPr>
              <w:t>属于国家秘密</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2.</w:t>
            </w:r>
            <w:r>
              <w:rPr>
                <w:rFonts w:ascii="楷体" w:eastAsia="楷体" w:hAnsi="楷体" w:cs="楷体" w:hint="eastAsia"/>
                <w:color w:val="000000"/>
                <w:kern w:val="0"/>
                <w:sz w:val="20"/>
                <w:szCs w:val="20"/>
                <w:lang/>
              </w:rPr>
              <w:t>其他法律行政法规禁止公开</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3.</w:t>
            </w:r>
            <w:r>
              <w:rPr>
                <w:rFonts w:ascii="楷体" w:eastAsia="楷体" w:hAnsi="楷体" w:cs="楷体" w:hint="eastAsia"/>
                <w:color w:val="000000"/>
                <w:kern w:val="0"/>
                <w:sz w:val="20"/>
                <w:szCs w:val="20"/>
                <w:lang/>
              </w:rPr>
              <w:t>危及“三安全一稳定”</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4.</w:t>
            </w:r>
            <w:r>
              <w:rPr>
                <w:rFonts w:ascii="楷体" w:eastAsia="楷体" w:hAnsi="楷体" w:cs="楷体" w:hint="eastAsia"/>
                <w:color w:val="000000"/>
                <w:kern w:val="0"/>
                <w:sz w:val="20"/>
                <w:szCs w:val="20"/>
                <w:lang/>
              </w:rPr>
              <w:t>保护第三方合法权益</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5.</w:t>
            </w:r>
            <w:r>
              <w:rPr>
                <w:rFonts w:ascii="楷体" w:eastAsia="楷体" w:hAnsi="楷体" w:cs="楷体" w:hint="eastAsia"/>
                <w:color w:val="000000"/>
                <w:kern w:val="0"/>
                <w:sz w:val="20"/>
                <w:szCs w:val="20"/>
                <w:lang/>
              </w:rPr>
              <w:t>属于三类内部事务信息</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1</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1</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6.</w:t>
            </w:r>
            <w:r>
              <w:rPr>
                <w:rFonts w:ascii="楷体" w:eastAsia="楷体" w:hAnsi="楷体" w:cs="楷体" w:hint="eastAsia"/>
                <w:color w:val="000000"/>
                <w:kern w:val="0"/>
                <w:sz w:val="20"/>
                <w:szCs w:val="20"/>
                <w:lang/>
              </w:rPr>
              <w:t>属于四类过程性信息</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2</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7.</w:t>
            </w:r>
            <w:r>
              <w:rPr>
                <w:rFonts w:ascii="楷体" w:eastAsia="楷体" w:hAnsi="楷体" w:cs="楷体" w:hint="eastAsia"/>
                <w:color w:val="000000"/>
                <w:kern w:val="0"/>
                <w:sz w:val="20"/>
                <w:szCs w:val="20"/>
                <w:lang/>
              </w:rPr>
              <w:t>属于行政执法案卷</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8.</w:t>
            </w:r>
            <w:r>
              <w:rPr>
                <w:rFonts w:ascii="楷体" w:eastAsia="楷体" w:hAnsi="楷体" w:cs="楷体" w:hint="eastAsia"/>
                <w:color w:val="000000"/>
                <w:kern w:val="0"/>
                <w:sz w:val="20"/>
                <w:szCs w:val="20"/>
                <w:lang/>
              </w:rPr>
              <w:t>属于行政查询事项</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（四）无法提供</w:t>
            </w: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1.</w:t>
            </w:r>
            <w:r>
              <w:rPr>
                <w:rFonts w:ascii="楷体" w:eastAsia="楷体" w:hAnsi="楷体" w:cs="楷体" w:hint="eastAsia"/>
                <w:color w:val="000000"/>
                <w:kern w:val="0"/>
                <w:sz w:val="20"/>
                <w:szCs w:val="20"/>
                <w:lang/>
              </w:rPr>
              <w:t>本机关不掌握相关政府信息</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12</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12</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2.</w:t>
            </w:r>
            <w:r>
              <w:rPr>
                <w:rFonts w:ascii="楷体" w:eastAsia="楷体" w:hAnsi="楷体" w:cs="楷体" w:hint="eastAsia"/>
                <w:color w:val="000000"/>
                <w:kern w:val="0"/>
                <w:sz w:val="20"/>
                <w:szCs w:val="20"/>
                <w:lang/>
              </w:rPr>
              <w:t>没有现成信息需要另行制作</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3.</w:t>
            </w:r>
            <w:r>
              <w:rPr>
                <w:rFonts w:ascii="楷体" w:eastAsia="楷体" w:hAnsi="楷体" w:cs="楷体" w:hint="eastAsia"/>
                <w:color w:val="000000"/>
                <w:kern w:val="0"/>
                <w:sz w:val="20"/>
                <w:szCs w:val="20"/>
                <w:lang/>
              </w:rPr>
              <w:t>补正后申请内容仍不明确</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（五）不予处理</w:t>
            </w: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1.</w:t>
            </w:r>
            <w:r>
              <w:rPr>
                <w:rFonts w:ascii="楷体" w:eastAsia="楷体" w:hAnsi="楷体" w:cs="楷体" w:hint="eastAsia"/>
                <w:color w:val="000000"/>
                <w:kern w:val="0"/>
                <w:sz w:val="20"/>
                <w:szCs w:val="20"/>
                <w:lang/>
              </w:rPr>
              <w:t>信访举报投诉类申请</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2.</w:t>
            </w:r>
            <w:r>
              <w:rPr>
                <w:rFonts w:ascii="楷体" w:eastAsia="楷体" w:hAnsi="楷体" w:cs="楷体" w:hint="eastAsia"/>
                <w:color w:val="000000"/>
                <w:kern w:val="0"/>
                <w:sz w:val="20"/>
                <w:szCs w:val="20"/>
                <w:lang/>
              </w:rPr>
              <w:t>重复申请</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3.</w:t>
            </w:r>
            <w:r>
              <w:rPr>
                <w:rFonts w:ascii="楷体" w:eastAsia="楷体" w:hAnsi="楷体" w:cs="楷体" w:hint="eastAsia"/>
                <w:color w:val="000000"/>
                <w:kern w:val="0"/>
                <w:sz w:val="20"/>
                <w:szCs w:val="20"/>
                <w:lang/>
              </w:rPr>
              <w:t>要求提供公开出版物</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4.</w:t>
            </w:r>
            <w:r>
              <w:rPr>
                <w:rFonts w:ascii="楷体" w:eastAsia="楷体" w:hAnsi="楷体" w:cs="楷体" w:hint="eastAsia"/>
                <w:color w:val="000000"/>
                <w:kern w:val="0"/>
                <w:sz w:val="20"/>
                <w:szCs w:val="20"/>
                <w:lang/>
              </w:rPr>
              <w:t>无正当理由大量反复申请</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rPr>
          <w:trHeight w:val="756"/>
        </w:trPr>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759"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22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5.</w:t>
            </w:r>
            <w:r>
              <w:rPr>
                <w:rFonts w:ascii="楷体" w:eastAsia="楷体" w:hAnsi="楷体" w:cs="楷体" w:hint="eastAsia"/>
                <w:color w:val="000000"/>
                <w:kern w:val="0"/>
                <w:sz w:val="20"/>
                <w:szCs w:val="20"/>
                <w:lang/>
              </w:rPr>
              <w:t>要求行政机关确认或重新出具已获取信息</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30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（六）其他处理</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r>
      <w:tr w:rsidR="005F148F">
        <w:tc>
          <w:tcPr>
            <w:tcW w:w="1148"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301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楷体" w:eastAsia="楷体" w:hAnsi="楷体" w:cs="楷体" w:hint="eastAsia"/>
                <w:color w:val="000000"/>
                <w:kern w:val="0"/>
                <w:sz w:val="20"/>
                <w:szCs w:val="20"/>
                <w:lang/>
              </w:rPr>
              <w:t>（七）总计</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29</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29</w:t>
            </w:r>
          </w:p>
        </w:tc>
      </w:tr>
      <w:tr w:rsidR="005F148F">
        <w:tc>
          <w:tcPr>
            <w:tcW w:w="4161"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四、结转下年度继续办理</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8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7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rFonts w:ascii="Times New Roman" w:hAnsi="Times New Roman" w:cs="Times New Roman"/>
                <w:color w:val="000000"/>
              </w:rPr>
            </w:pPr>
            <w:r>
              <w:rPr>
                <w:rFonts w:ascii="Times New Roman" w:hAnsi="Times New Roman" w:cs="Times New Roman" w:hint="eastAsia"/>
                <w:color w:val="000000"/>
              </w:rPr>
              <w:t>0</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jc w:val="center"/>
              <w:rPr>
                <w:rFonts w:ascii="Times New Roman" w:hAnsi="Times New Roman" w:cs="Times New Roman"/>
                <w:color w:val="000000"/>
                <w:sz w:val="24"/>
              </w:rPr>
            </w:pPr>
            <w:r>
              <w:rPr>
                <w:rFonts w:ascii="Times New Roman" w:hAnsi="Times New Roman" w:cs="Times New Roman" w:hint="eastAsia"/>
                <w:color w:val="000000"/>
              </w:rPr>
              <w:t>0</w:t>
            </w:r>
          </w:p>
        </w:tc>
      </w:tr>
    </w:tbl>
    <w:p w:rsidR="005F148F" w:rsidRDefault="005F148F" w:rsidP="00896F11">
      <w:pPr>
        <w:pStyle w:val="a5"/>
        <w:widowControl/>
        <w:snapToGrid w:val="0"/>
        <w:spacing w:beforeAutospacing="0" w:afterLines="50" w:afterAutospacing="0" w:line="500" w:lineRule="exact"/>
        <w:jc w:val="both"/>
        <w:rPr>
          <w:rFonts w:ascii="方正黑体简体" w:eastAsia="方正黑体简体" w:hAnsi="方正黑体简体" w:cs="方正黑体简体"/>
          <w:b/>
          <w:color w:val="000000"/>
          <w:sz w:val="32"/>
          <w:szCs w:val="32"/>
        </w:rPr>
      </w:pP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五、政府信息公开行政复议、行政诉讼情况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5F148F">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行政诉讼</w:t>
            </w:r>
          </w:p>
        </w:tc>
      </w:tr>
      <w:tr w:rsidR="005F148F">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结果维持</w:t>
            </w:r>
          </w:p>
        </w:tc>
        <w:tc>
          <w:tcPr>
            <w:tcW w:w="60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总计</w:t>
            </w:r>
          </w:p>
        </w:tc>
        <w:tc>
          <w:tcPr>
            <w:tcW w:w="297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复议后起诉</w:t>
            </w:r>
          </w:p>
        </w:tc>
      </w:tr>
      <w:tr w:rsidR="005F148F">
        <w:trPr>
          <w:jc w:val="center"/>
        </w:trPr>
        <w:tc>
          <w:tcPr>
            <w:tcW w:w="604" w:type="dxa"/>
            <w:vMerge/>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604" w:type="dxa"/>
            <w:vMerge/>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604"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604"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658" w:type="dxa"/>
            <w:vMerge/>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5F148F">
            <w:pPr>
              <w:jc w:val="center"/>
              <w:rPr>
                <w:rFonts w:ascii="宋体"/>
                <w:color w:val="000000"/>
                <w:sz w:val="24"/>
              </w:rPr>
            </w:pP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结果维持</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其他结果</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尚未审结</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总计</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结果维持</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结果纠正</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其他结果</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尚未审结</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ascii="宋体" w:eastAsia="宋体" w:hAnsi="宋体" w:cs="宋体" w:hint="eastAsia"/>
                <w:color w:val="000000"/>
                <w:kern w:val="0"/>
                <w:sz w:val="20"/>
                <w:szCs w:val="20"/>
                <w:lang/>
              </w:rPr>
              <w:t>总计</w:t>
            </w:r>
          </w:p>
        </w:tc>
      </w:tr>
      <w:tr w:rsidR="005F148F">
        <w:trPr>
          <w:jc w:val="center"/>
        </w:trPr>
        <w:tc>
          <w:tcPr>
            <w:tcW w:w="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widowControl/>
              <w:jc w:val="center"/>
              <w:rPr>
                <w:color w:val="000000"/>
              </w:rPr>
            </w:pPr>
            <w:r>
              <w:rPr>
                <w:rFonts w:hint="eastAsia"/>
                <w:color w:val="000000"/>
              </w:rPr>
              <w:t>0</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F148F" w:rsidRDefault="009E44FD">
            <w:pPr>
              <w:jc w:val="center"/>
              <w:rPr>
                <w:rFonts w:ascii="宋体"/>
                <w:color w:val="000000"/>
                <w:sz w:val="24"/>
              </w:rPr>
            </w:pPr>
            <w:r>
              <w:rPr>
                <w:rFonts w:ascii="宋体" w:hint="eastAsia"/>
                <w:color w:val="000000"/>
                <w:sz w:val="24"/>
              </w:rPr>
              <w:t>0</w:t>
            </w:r>
          </w:p>
        </w:tc>
      </w:tr>
    </w:tbl>
    <w:p w:rsidR="005F148F" w:rsidRDefault="005F148F">
      <w:pPr>
        <w:jc w:val="center"/>
      </w:pP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t>六、政府信息资源的规范化、标准化管理情况</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安排专人对政府信息规范化、标准化管理，定期对政府信息管理员进行培训，提高业务水平。</w:t>
      </w: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t>七、政府信息公开平台建设情况</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积极配合区有关部门，政府信息公开质效不断提升，服务社会公众能力有效提高。</w:t>
      </w: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t>八、行政复议及行政诉讼</w:t>
      </w:r>
    </w:p>
    <w:p w:rsidR="005F148F" w:rsidRDefault="009E44FD">
      <w:pPr>
        <w:ind w:firstLineChars="200" w:firstLine="640"/>
        <w:rPr>
          <w:rFonts w:ascii="方正黑体简体" w:eastAsia="方正黑体简体" w:hAnsi="方正黑体简体" w:cs="方正黑体简体"/>
          <w:b/>
          <w:color w:val="000000"/>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年，我局未发生因政府信息公开而被申请行政复议或被提起行政诉讼案件。</w:t>
      </w:r>
    </w:p>
    <w:p w:rsidR="005F148F" w:rsidRDefault="009E44FD">
      <w:pPr>
        <w:ind w:firstLineChars="200" w:firstLine="640"/>
        <w:rPr>
          <w:rFonts w:ascii="黑体" w:eastAsia="黑体" w:hAnsi="黑体" w:cs="黑体"/>
          <w:sz w:val="32"/>
          <w:szCs w:val="32"/>
        </w:rPr>
      </w:pPr>
      <w:r>
        <w:rPr>
          <w:rFonts w:ascii="黑体" w:eastAsia="黑体" w:hAnsi="黑体" w:cs="黑体" w:hint="eastAsia"/>
          <w:sz w:val="32"/>
          <w:szCs w:val="32"/>
        </w:rPr>
        <w:t>九、存在主要问题和改进措施</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我局信息公开工作</w:t>
      </w:r>
      <w:r>
        <w:rPr>
          <w:rFonts w:ascii="仿宋" w:eastAsia="仿宋" w:hAnsi="仿宋" w:cs="仿宋" w:hint="eastAsia"/>
          <w:sz w:val="32"/>
          <w:szCs w:val="32"/>
        </w:rPr>
        <w:t>有了较大的进步</w:t>
      </w:r>
      <w:r>
        <w:rPr>
          <w:rFonts w:ascii="仿宋" w:eastAsia="仿宋" w:hAnsi="仿宋" w:cs="仿宋" w:hint="eastAsia"/>
          <w:sz w:val="32"/>
          <w:szCs w:val="32"/>
        </w:rPr>
        <w:t>，但也存在公开内容还不够全面</w:t>
      </w:r>
      <w:r>
        <w:rPr>
          <w:rFonts w:ascii="仿宋" w:eastAsia="仿宋" w:hAnsi="仿宋" w:cs="仿宋" w:hint="eastAsia"/>
          <w:sz w:val="32"/>
          <w:szCs w:val="32"/>
        </w:rPr>
        <w:t>、公开不够及时的问题，现从如下几个方面进行整改</w:t>
      </w:r>
      <w:r>
        <w:rPr>
          <w:rFonts w:ascii="仿宋" w:eastAsia="仿宋" w:hAnsi="仿宋" w:cs="仿宋" w:hint="eastAsia"/>
          <w:sz w:val="32"/>
          <w:szCs w:val="32"/>
        </w:rPr>
        <w:t>：</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一是</w:t>
      </w:r>
      <w:r>
        <w:rPr>
          <w:rFonts w:ascii="仿宋" w:eastAsia="仿宋" w:hAnsi="仿宋" w:cs="仿宋" w:hint="eastAsia"/>
          <w:sz w:val="32"/>
          <w:szCs w:val="32"/>
        </w:rPr>
        <w:t>强化教育</w:t>
      </w:r>
      <w:r>
        <w:rPr>
          <w:rFonts w:ascii="仿宋" w:eastAsia="仿宋" w:hAnsi="仿宋" w:cs="仿宋" w:hint="eastAsia"/>
          <w:sz w:val="32"/>
          <w:szCs w:val="32"/>
        </w:rPr>
        <w:t>。</w:t>
      </w:r>
      <w:r>
        <w:rPr>
          <w:rFonts w:ascii="仿宋" w:eastAsia="仿宋" w:hAnsi="仿宋" w:cs="仿宋" w:hint="eastAsia"/>
          <w:sz w:val="32"/>
          <w:szCs w:val="32"/>
        </w:rPr>
        <w:t>通过邀请专家和个人自学相结合，提高专职信息公开人员的综合素质，使得其工作紧迫性和主动性大大增强。</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二是</w:t>
      </w:r>
      <w:r>
        <w:rPr>
          <w:rFonts w:ascii="仿宋" w:eastAsia="仿宋" w:hAnsi="仿宋" w:cs="仿宋" w:hint="eastAsia"/>
          <w:sz w:val="32"/>
          <w:szCs w:val="32"/>
        </w:rPr>
        <w:t>完善制度</w:t>
      </w:r>
      <w:r>
        <w:rPr>
          <w:rFonts w:ascii="仿宋" w:eastAsia="仿宋" w:hAnsi="仿宋" w:cs="仿宋" w:hint="eastAsia"/>
          <w:sz w:val="32"/>
          <w:szCs w:val="32"/>
        </w:rPr>
        <w:t>。</w:t>
      </w:r>
      <w:r>
        <w:rPr>
          <w:rFonts w:ascii="仿宋" w:eastAsia="仿宋" w:hAnsi="仿宋" w:cs="仿宋" w:hint="eastAsia"/>
          <w:sz w:val="32"/>
          <w:szCs w:val="32"/>
        </w:rPr>
        <w:t>借鉴相关单位经验，进一步完善制度和机</w:t>
      </w:r>
      <w:r>
        <w:rPr>
          <w:rFonts w:ascii="仿宋" w:eastAsia="仿宋" w:hAnsi="仿宋" w:cs="仿宋" w:hint="eastAsia"/>
          <w:sz w:val="32"/>
          <w:szCs w:val="32"/>
        </w:rPr>
        <w:lastRenderedPageBreak/>
        <w:t>制，确保形成信息公开的良好局面。</w:t>
      </w:r>
    </w:p>
    <w:p w:rsidR="005F148F" w:rsidRDefault="009E44FD">
      <w:pPr>
        <w:ind w:firstLineChars="200" w:firstLine="640"/>
        <w:rPr>
          <w:rFonts w:ascii="仿宋" w:eastAsia="仿宋" w:hAnsi="仿宋" w:cs="仿宋"/>
          <w:sz w:val="32"/>
          <w:szCs w:val="32"/>
        </w:rPr>
      </w:pPr>
      <w:r>
        <w:rPr>
          <w:rFonts w:ascii="仿宋" w:eastAsia="仿宋" w:hAnsi="仿宋" w:cs="仿宋" w:hint="eastAsia"/>
          <w:sz w:val="32"/>
          <w:szCs w:val="32"/>
        </w:rPr>
        <w:t> </w:t>
      </w:r>
    </w:p>
    <w:p w:rsidR="005F148F" w:rsidRDefault="009E44FD">
      <w:pPr>
        <w:ind w:firstLineChars="200" w:firstLine="640"/>
        <w:jc w:val="right"/>
        <w:rPr>
          <w:rFonts w:ascii="仿宋" w:eastAsia="仿宋" w:hAnsi="仿宋" w:cs="仿宋"/>
          <w:sz w:val="32"/>
          <w:szCs w:val="32"/>
        </w:rPr>
      </w:pPr>
      <w:r>
        <w:rPr>
          <w:rFonts w:ascii="仿宋" w:eastAsia="仿宋" w:hAnsi="仿宋" w:cs="仿宋" w:hint="eastAsia"/>
          <w:sz w:val="32"/>
          <w:szCs w:val="32"/>
        </w:rPr>
        <w:t> </w:t>
      </w:r>
      <w:r>
        <w:rPr>
          <w:rFonts w:ascii="仿宋" w:eastAsia="仿宋" w:hAnsi="仿宋" w:cs="仿宋" w:hint="eastAsia"/>
          <w:sz w:val="32"/>
          <w:szCs w:val="32"/>
        </w:rPr>
        <w:t>二七区</w:t>
      </w:r>
      <w:r>
        <w:rPr>
          <w:rFonts w:ascii="仿宋" w:eastAsia="仿宋" w:hAnsi="仿宋" w:cs="仿宋" w:hint="eastAsia"/>
          <w:sz w:val="32"/>
          <w:szCs w:val="32"/>
        </w:rPr>
        <w:t>建设和交通局</w:t>
      </w:r>
      <w:r>
        <w:rPr>
          <w:rFonts w:ascii="仿宋" w:eastAsia="仿宋" w:hAnsi="仿宋" w:cs="仿宋" w:hint="eastAsia"/>
          <w:sz w:val="32"/>
          <w:szCs w:val="32"/>
        </w:rPr>
        <w:t> </w:t>
      </w:r>
    </w:p>
    <w:p w:rsidR="005F148F" w:rsidRDefault="005F148F">
      <w:pPr>
        <w:rPr>
          <w:rFonts w:ascii="方正黑体简体" w:eastAsia="方正黑体简体" w:hAnsi="方正黑体简体" w:cs="方正黑体简体"/>
          <w:b/>
          <w:color w:val="000000"/>
          <w:sz w:val="32"/>
          <w:szCs w:val="32"/>
        </w:rPr>
      </w:pPr>
    </w:p>
    <w:sectPr w:rsidR="005F148F" w:rsidSect="005F148F">
      <w:pgSz w:w="11906" w:h="16838"/>
      <w:pgMar w:top="1701" w:right="1587" w:bottom="1587" w:left="1587" w:header="851" w:footer="992" w:gutter="0"/>
      <w:pgNumType w:fmt="numberInDash" w:start="4"/>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4FD" w:rsidRDefault="009E44FD" w:rsidP="00896F11">
      <w:r>
        <w:separator/>
      </w:r>
    </w:p>
  </w:endnote>
  <w:endnote w:type="continuationSeparator" w:id="1">
    <w:p w:rsidR="009E44FD" w:rsidRDefault="009E44FD" w:rsidP="00896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4FD" w:rsidRDefault="009E44FD" w:rsidP="00896F11">
      <w:r>
        <w:separator/>
      </w:r>
    </w:p>
  </w:footnote>
  <w:footnote w:type="continuationSeparator" w:id="1">
    <w:p w:rsidR="009E44FD" w:rsidRDefault="009E44FD" w:rsidP="00896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evenAndOddHeaders/>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F148F"/>
    <w:rsid w:val="005F148F"/>
    <w:rsid w:val="00896F11"/>
    <w:rsid w:val="009E44FD"/>
    <w:rsid w:val="00A75190"/>
    <w:rsid w:val="037C37C1"/>
    <w:rsid w:val="05232D73"/>
    <w:rsid w:val="056135B1"/>
    <w:rsid w:val="05935E4A"/>
    <w:rsid w:val="05DE3DE7"/>
    <w:rsid w:val="06574A67"/>
    <w:rsid w:val="07E13334"/>
    <w:rsid w:val="0A207B58"/>
    <w:rsid w:val="0B7E4FB8"/>
    <w:rsid w:val="0E8E425D"/>
    <w:rsid w:val="0EFF04C2"/>
    <w:rsid w:val="0FA3046B"/>
    <w:rsid w:val="0FC410E3"/>
    <w:rsid w:val="106D1D2C"/>
    <w:rsid w:val="11E260CB"/>
    <w:rsid w:val="142F6222"/>
    <w:rsid w:val="16DB7B59"/>
    <w:rsid w:val="1A090ECA"/>
    <w:rsid w:val="1AC86AE0"/>
    <w:rsid w:val="1E7F527A"/>
    <w:rsid w:val="1F402B8B"/>
    <w:rsid w:val="206354F5"/>
    <w:rsid w:val="2203118B"/>
    <w:rsid w:val="22AA4714"/>
    <w:rsid w:val="24642FCD"/>
    <w:rsid w:val="26616CB9"/>
    <w:rsid w:val="273F459B"/>
    <w:rsid w:val="2744164D"/>
    <w:rsid w:val="2A8E6864"/>
    <w:rsid w:val="2AB73876"/>
    <w:rsid w:val="2BBC17EE"/>
    <w:rsid w:val="2C6C3543"/>
    <w:rsid w:val="2E137ACC"/>
    <w:rsid w:val="300710C9"/>
    <w:rsid w:val="31597842"/>
    <w:rsid w:val="37B876DE"/>
    <w:rsid w:val="3CB74FC2"/>
    <w:rsid w:val="3F4E6AB4"/>
    <w:rsid w:val="409E5901"/>
    <w:rsid w:val="40E622B1"/>
    <w:rsid w:val="43314C0F"/>
    <w:rsid w:val="459D083D"/>
    <w:rsid w:val="463F2683"/>
    <w:rsid w:val="476A67BE"/>
    <w:rsid w:val="48007D21"/>
    <w:rsid w:val="482B33DF"/>
    <w:rsid w:val="4F2E0A41"/>
    <w:rsid w:val="51294E31"/>
    <w:rsid w:val="51A652BF"/>
    <w:rsid w:val="51AF6DFA"/>
    <w:rsid w:val="5303716A"/>
    <w:rsid w:val="54E92B9E"/>
    <w:rsid w:val="574C492F"/>
    <w:rsid w:val="578F3F97"/>
    <w:rsid w:val="586A6AC3"/>
    <w:rsid w:val="5ADD3BBF"/>
    <w:rsid w:val="5C920296"/>
    <w:rsid w:val="605968C4"/>
    <w:rsid w:val="610462B9"/>
    <w:rsid w:val="63CD1620"/>
    <w:rsid w:val="65820295"/>
    <w:rsid w:val="65D86366"/>
    <w:rsid w:val="65D91EE4"/>
    <w:rsid w:val="67C05E78"/>
    <w:rsid w:val="67FF4ECB"/>
    <w:rsid w:val="68CB1E1B"/>
    <w:rsid w:val="6A156400"/>
    <w:rsid w:val="6A2C62D3"/>
    <w:rsid w:val="6A2E7D40"/>
    <w:rsid w:val="6F5456A0"/>
    <w:rsid w:val="70AD38FD"/>
    <w:rsid w:val="725633E1"/>
    <w:rsid w:val="73215CF2"/>
    <w:rsid w:val="76EA0D3A"/>
    <w:rsid w:val="76EE758E"/>
    <w:rsid w:val="7BD07940"/>
    <w:rsid w:val="7BE8593C"/>
    <w:rsid w:val="7D2A4484"/>
    <w:rsid w:val="7DD75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48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F148F"/>
    <w:pPr>
      <w:tabs>
        <w:tab w:val="center" w:pos="4153"/>
        <w:tab w:val="right" w:pos="8306"/>
      </w:tabs>
      <w:snapToGrid w:val="0"/>
      <w:jc w:val="left"/>
    </w:pPr>
    <w:rPr>
      <w:sz w:val="18"/>
    </w:rPr>
  </w:style>
  <w:style w:type="paragraph" w:styleId="a4">
    <w:name w:val="header"/>
    <w:basedOn w:val="a"/>
    <w:qFormat/>
    <w:rsid w:val="005F148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F148F"/>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2014-10-29T12:08:00Z</dcterms:created>
  <dcterms:modified xsi:type="dcterms:W3CDTF">2021-02-02T02:05:00Z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