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b w:val="0"/>
          <w:bCs/>
          <w:i w:val="0"/>
          <w:caps w:val="0"/>
          <w:color w:val="000000"/>
          <w:spacing w:val="0"/>
          <w:sz w:val="44"/>
          <w:szCs w:val="4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lang w:eastAsia="zh-CN"/>
        </w:rPr>
        <w:t>郑州市二七区商务局</w:t>
      </w:r>
      <w:r>
        <w:rPr>
          <w:rFonts w:hint="eastAsia" w:ascii="方正小标宋简体" w:hAnsi="方正小标宋简体" w:eastAsia="方正小标宋简体" w:cs="方正小标宋简体"/>
          <w:b w:val="0"/>
          <w:bCs/>
          <w:i w:val="0"/>
          <w:caps w:val="0"/>
          <w:color w:val="000000"/>
          <w:spacing w:val="0"/>
          <w:sz w:val="44"/>
          <w:szCs w:val="44"/>
          <w:lang w:val="en-US" w:eastAsia="zh-CN"/>
        </w:rPr>
        <w:t>2020年</w:t>
      </w:r>
      <w:r>
        <w:rPr>
          <w:rFonts w:hint="eastAsia" w:ascii="方正小标宋简体" w:hAnsi="方正小标宋简体" w:eastAsia="方正小标宋简体" w:cs="方正小标宋简体"/>
          <w:b w:val="0"/>
          <w:bCs/>
          <w:i w:val="0"/>
          <w:caps w:val="0"/>
          <w:color w:val="000000"/>
          <w:spacing w:val="0"/>
          <w:sz w:val="44"/>
          <w:szCs w:val="44"/>
        </w:rPr>
        <w:t>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420"/>
        <w:jc w:val="both"/>
        <w:textAlignment w:val="auto"/>
        <w:outlineLvl w:val="9"/>
        <w:rPr>
          <w:rFonts w:hint="eastAsia" w:ascii="宋体" w:hAnsi="宋体" w:eastAsia="宋体" w:cs="宋体"/>
          <w:b w:val="0"/>
          <w:i w:val="0"/>
          <w:caps w:val="0"/>
          <w:color w:val="000000"/>
          <w:spacing w:val="0"/>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50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i w:val="0"/>
          <w:caps w:val="0"/>
          <w:color w:val="000000"/>
          <w:spacing w:val="0"/>
          <w:sz w:val="32"/>
          <w:szCs w:val="32"/>
        </w:rPr>
      </w:pPr>
      <w:r>
        <w:rPr>
          <w:rFonts w:hint="eastAsia" w:ascii="方正黑体简体" w:hAnsi="方正黑体简体" w:eastAsia="方正黑体简体" w:cs="方正黑体简体"/>
          <w:b w:val="0"/>
          <w:bCs/>
          <w:i w:val="0"/>
          <w:caps w:val="0"/>
          <w:color w:val="000000"/>
          <w:spacing w:val="0"/>
          <w:sz w:val="32"/>
          <w:szCs w:val="32"/>
        </w:rPr>
        <w:t>一、总体情况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年，二七区商务局严格按照市、区有关规定和安排部署，深入学习贯彻《中华人民共和国政府信息公开条例》、</w:t>
      </w:r>
      <w:r>
        <w:rPr>
          <w:rFonts w:hint="eastAsia" w:ascii="仿宋_GB2312" w:eastAsia="仿宋_GB2312"/>
          <w:sz w:val="32"/>
          <w:szCs w:val="32"/>
          <w:lang w:val="en-US" w:eastAsia="zh-CN"/>
        </w:rPr>
        <w:t>《郑州市二七区人民政府办公室关于印发</w:t>
      </w:r>
      <w:r>
        <w:rPr>
          <w:rFonts w:hint="default" w:ascii="仿宋_GB2312" w:eastAsia="仿宋_GB2312"/>
          <w:sz w:val="32"/>
          <w:szCs w:val="32"/>
          <w:lang w:val="en-US" w:eastAsia="zh-CN"/>
        </w:rPr>
        <w:t>2020</w:t>
      </w:r>
      <w:r>
        <w:rPr>
          <w:rFonts w:hint="eastAsia" w:ascii="仿宋_GB2312" w:eastAsia="仿宋_GB2312"/>
          <w:sz w:val="32"/>
          <w:szCs w:val="32"/>
          <w:lang w:val="en-US" w:eastAsia="zh-CN"/>
        </w:rPr>
        <w:t>年政务公开工作要点实施方案的通知》（二七政办〔</w:t>
      </w:r>
      <w:r>
        <w:rPr>
          <w:rFonts w:hint="default" w:ascii="仿宋_GB2312" w:eastAsia="仿宋_GB2312"/>
          <w:sz w:val="32"/>
          <w:szCs w:val="32"/>
          <w:lang w:val="en-US" w:eastAsia="zh-CN"/>
        </w:rPr>
        <w:t>2020</w:t>
      </w:r>
      <w:r>
        <w:rPr>
          <w:rFonts w:hint="eastAsia" w:ascii="仿宋_GB2312" w:eastAsia="仿宋_GB2312"/>
          <w:sz w:val="32"/>
          <w:szCs w:val="32"/>
          <w:lang w:val="en-US" w:eastAsia="zh-CN"/>
        </w:rPr>
        <w:t>〕</w:t>
      </w:r>
      <w:r>
        <w:rPr>
          <w:rFonts w:hint="default" w:ascii="仿宋_GB2312" w:eastAsia="仿宋_GB2312"/>
          <w:sz w:val="32"/>
          <w:szCs w:val="32"/>
          <w:lang w:val="en-US" w:eastAsia="zh-CN"/>
        </w:rPr>
        <w:t>15</w:t>
      </w:r>
      <w:r>
        <w:rPr>
          <w:rFonts w:hint="eastAsia" w:ascii="仿宋_GB2312" w:eastAsia="仿宋_GB2312"/>
          <w:sz w:val="32"/>
          <w:szCs w:val="32"/>
          <w:lang w:val="en-US" w:eastAsia="zh-CN"/>
        </w:rPr>
        <w:t>号）</w:t>
      </w:r>
      <w:r>
        <w:rPr>
          <w:rFonts w:hint="eastAsia" w:ascii="仿宋_GB2312" w:eastAsia="仿宋_GB2312"/>
          <w:sz w:val="32"/>
          <w:szCs w:val="32"/>
        </w:rPr>
        <w:t>等相关文件精神，进一步规范政务公开内容、创新政务公开形式、突出政务公开重点、提高政务公开水平，为全局健康持续发展创造了良好的政务环境。</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完善机构，加强领导。</w:t>
      </w:r>
      <w:r>
        <w:rPr>
          <w:rFonts w:hint="eastAsia" w:ascii="仿宋_GB2312" w:eastAsia="仿宋_GB2312"/>
          <w:sz w:val="32"/>
          <w:szCs w:val="32"/>
          <w:lang w:eastAsia="zh-CN"/>
        </w:rPr>
        <w:t>商务局</w:t>
      </w:r>
      <w:r>
        <w:rPr>
          <w:rFonts w:hint="eastAsia" w:ascii="仿宋_GB2312" w:eastAsia="仿宋_GB2312"/>
          <w:sz w:val="32"/>
          <w:szCs w:val="32"/>
        </w:rPr>
        <w:t>始终把做好政务信息公开工作列入单位工作议事日程。同时，根据人员变动，及时对局政府信息公开工作领导小组人员进行调整充实。健全领导机制，做到了有领导分管、有机构负责、有专人承办，形成职责分明、分工合理、各负其责、齐抓共管的工作局面</w:t>
      </w:r>
      <w:r>
        <w:rPr>
          <w:rFonts w:hint="eastAsia" w:ascii="仿宋_GB2312" w:eastAsia="仿宋_GB2312"/>
          <w:sz w:val="32"/>
          <w:szCs w:val="32"/>
          <w:lang w:eastAsia="zh-CN"/>
        </w:rPr>
        <w:t>，</w:t>
      </w:r>
      <w:r>
        <w:rPr>
          <w:rFonts w:hint="eastAsia" w:ascii="仿宋_GB2312" w:eastAsia="仿宋_GB2312"/>
          <w:sz w:val="32"/>
          <w:szCs w:val="32"/>
        </w:rPr>
        <w:t>确保政府信息工作顺利开展。</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lang w:eastAsia="zh-CN"/>
        </w:rPr>
        <w:t>规</w:t>
      </w:r>
      <w:r>
        <w:rPr>
          <w:rFonts w:hint="eastAsia" w:ascii="仿宋_GB2312" w:eastAsia="仿宋_GB2312"/>
          <w:sz w:val="32"/>
          <w:szCs w:val="32"/>
        </w:rPr>
        <w:t>范内容，提高政务信息质量。一是公开的内容更加充实。我局对政务信息公开的范围、政务信息公开的内容、政务信息公开的形式、政务信息公开的制度等作了进一步的明确，按照组织健全、制度严密、标准统一、运作规范的要求,做好政务信息公开内容的补充以及已公开内容的删补。二是公开的时间更加及时。针对公开项目的不同情况，确定公开时间，做到常规性工作定期公开，临时性工作随时公开，固定性工作长期公开。通过政府信息公开网站及时公开单位信息。 </w:t>
      </w:r>
    </w:p>
    <w:p>
      <w:pPr>
        <w:spacing w:line="560" w:lineRule="exact"/>
        <w:ind w:firstLine="640" w:firstLineChars="200"/>
        <w:rPr>
          <w:rFonts w:hint="eastAsia" w:ascii="方正仿宋简体" w:hAnsi="方正仿宋简体" w:eastAsia="方正仿宋简体" w:cs="方正仿宋简体"/>
          <w:b w:val="0"/>
          <w:i w:val="0"/>
          <w:caps w:val="0"/>
          <w:color w:val="000000"/>
          <w:spacing w:val="0"/>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学习宣传，增强意识。为进一步扩大政府信息公开工作的影响，普及政府信息公开知识，充分利用宣传栏、微信群</w:t>
      </w:r>
      <w:r>
        <w:rPr>
          <w:rFonts w:hint="eastAsia" w:ascii="仿宋_GB2312" w:eastAsia="仿宋_GB2312"/>
          <w:sz w:val="32"/>
          <w:szCs w:val="32"/>
          <w:lang w:eastAsia="zh-CN"/>
        </w:rPr>
        <w:t>、钉钉</w:t>
      </w:r>
      <w:r>
        <w:rPr>
          <w:rFonts w:hint="eastAsia" w:ascii="仿宋_GB2312" w:eastAsia="仿宋_GB2312"/>
          <w:sz w:val="32"/>
          <w:szCs w:val="32"/>
        </w:rPr>
        <w:t>等多种形式，广泛宣传信息公开的重大意义、公开范围、程序等各项内容，积极组织开展《政府信息公开条例》等相关的文件材料的学习培训，进一步提高工作人员对政府信息公开工作重要性的认识，增强工作人员对政府信息公开的重要意义的认识及贯彻落实政府信息公开的主动性和自觉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157" w:afterLines="50" w:afterAutospacing="0" w:line="50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i w:val="0"/>
          <w:caps w:val="0"/>
          <w:color w:val="000000"/>
          <w:spacing w:val="0"/>
          <w:sz w:val="32"/>
          <w:szCs w:val="32"/>
        </w:rPr>
      </w:pPr>
      <w:r>
        <w:rPr>
          <w:rFonts w:hint="eastAsia" w:ascii="方正黑体简体" w:hAnsi="方正黑体简体" w:eastAsia="方正黑体简体" w:cs="方正黑体简体"/>
          <w:b w:val="0"/>
          <w:bCs/>
          <w:i w:val="0"/>
          <w:caps w:val="0"/>
          <w:color w:val="000000"/>
          <w:spacing w:val="0"/>
          <w:sz w:val="32"/>
          <w:szCs w:val="32"/>
        </w:rPr>
        <w:t>二、主动公开政府信息情况</w:t>
      </w:r>
    </w:p>
    <w:tbl>
      <w:tblPr>
        <w:tblStyle w:val="5"/>
        <w:tblW w:w="8140" w:type="dxa"/>
        <w:jc w:val="center"/>
        <w:shd w:val="clear" w:color="auto" w:fill="auto"/>
        <w:tblLayout w:type="fixed"/>
        <w:tblCellMar>
          <w:top w:w="15" w:type="dxa"/>
          <w:left w:w="15" w:type="dxa"/>
          <w:bottom w:w="15" w:type="dxa"/>
          <w:right w:w="15" w:type="dxa"/>
        </w:tblCellMar>
      </w:tblPr>
      <w:tblGrid>
        <w:gridCol w:w="3113"/>
        <w:gridCol w:w="1875"/>
        <w:gridCol w:w="6"/>
        <w:gridCol w:w="1265"/>
        <w:gridCol w:w="1881"/>
      </w:tblGrid>
      <w:tr>
        <w:tblPrEx>
          <w:shd w:val="clear" w:color="auto" w:fill="auto"/>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color w:val="000000"/>
                <w:kern w:val="0"/>
                <w:sz w:val="20"/>
                <w:szCs w:val="20"/>
                <w:lang w:val="en-US" w:eastAsia="zh-CN" w:bidi="ar"/>
              </w:rPr>
              <w:t>制作数量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color w:val="000000"/>
                <w:kern w:val="0"/>
                <w:sz w:val="20"/>
                <w:szCs w:val="20"/>
                <w:lang w:val="en-US" w:eastAsia="zh-CN" w:bidi="ar"/>
              </w:rPr>
              <w:br w:type="textWrapping"/>
            </w:r>
            <w:r>
              <w:rPr>
                <w:rFonts w:asciiTheme="minorHAnsi" w:hAnsiTheme="minorHAnsi" w:eastAsiaTheme="minorEastAsia" w:cstheme="minorBidi"/>
                <w:color w:val="000000"/>
                <w:kern w:val="0"/>
                <w:sz w:val="20"/>
                <w:szCs w:val="20"/>
                <w:lang w:val="en-US" w:eastAsia="zh-CN" w:bidi="ar"/>
              </w:rPr>
              <w:t>公开数量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规章</w:t>
            </w:r>
          </w:p>
        </w:tc>
        <w:tc>
          <w:tcPr>
            <w:tcW w:w="18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规范性文件</w:t>
            </w:r>
          </w:p>
        </w:tc>
        <w:tc>
          <w:tcPr>
            <w:tcW w:w="187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7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行政许可</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其他对外管理服务事项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7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上一年项目数量</w:t>
            </w:r>
          </w:p>
        </w:tc>
        <w:tc>
          <w:tcPr>
            <w:tcW w:w="1271"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处理决定数量</w:t>
            </w:r>
          </w:p>
        </w:tc>
      </w:tr>
      <w:tr>
        <w:tblPrEx>
          <w:tblCellMar>
            <w:top w:w="15" w:type="dxa"/>
            <w:left w:w="15" w:type="dxa"/>
            <w:bottom w:w="15" w:type="dxa"/>
            <w:right w:w="15"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行政处罚</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行政强制</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26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188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第二十条第（八）项</w:t>
            </w:r>
          </w:p>
        </w:tc>
      </w:tr>
      <w:tr>
        <w:tblPrEx>
          <w:tblCellMar>
            <w:top w:w="15" w:type="dxa"/>
            <w:left w:w="15" w:type="dxa"/>
            <w:bottom w:w="15" w:type="dxa"/>
            <w:right w:w="15" w:type="dxa"/>
          </w:tblCellMar>
        </w:tblPrEx>
        <w:trPr>
          <w:trHeight w:val="90"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上一年项目数量</w:t>
            </w:r>
          </w:p>
        </w:tc>
        <w:tc>
          <w:tcPr>
            <w:tcW w:w="3146" w:type="dxa"/>
            <w:gridSpan w:val="2"/>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行政事业性收费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3146"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0 </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信息内容</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采购项目数量</w:t>
            </w:r>
          </w:p>
        </w:tc>
        <w:tc>
          <w:tcPr>
            <w:tcW w:w="3146" w:type="dxa"/>
            <w:gridSpan w:val="2"/>
            <w:tcBorders>
              <w:top w:val="single" w:color="auto" w:sz="8" w:space="0"/>
              <w:left w:val="nil"/>
              <w:bottom w:val="single" w:color="auto" w:sz="8" w:space="0"/>
              <w:right w:val="single" w:color="000000"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政府集中采购</w:t>
            </w:r>
          </w:p>
        </w:tc>
        <w:tc>
          <w:tcPr>
            <w:tcW w:w="1881"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color w:val="000000"/>
                <w:lang w:val="en-US"/>
              </w:rPr>
            </w:pPr>
            <w:r>
              <w:rPr>
                <w:rFonts w:hint="eastAsia" w:ascii="宋体" w:hAnsi="宋体" w:eastAsia="宋体" w:cs="宋体"/>
                <w:color w:val="000000"/>
                <w:kern w:val="0"/>
                <w:sz w:val="20"/>
                <w:szCs w:val="20"/>
                <w:lang w:val="en-US" w:eastAsia="zh-CN" w:bidi="ar"/>
              </w:rPr>
              <w:t>　2</w:t>
            </w:r>
          </w:p>
        </w:tc>
        <w:tc>
          <w:tcPr>
            <w:tcW w:w="3146" w:type="dxa"/>
            <w:gridSpan w:val="2"/>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rPr>
                <w:rFonts w:hint="default" w:ascii="宋体" w:eastAsiaTheme="minorEastAsia"/>
                <w:color w:val="000000"/>
                <w:sz w:val="24"/>
                <w:szCs w:val="24"/>
                <w:lang w:val="en-US" w:eastAsia="zh-CN"/>
              </w:rPr>
            </w:pPr>
            <w:r>
              <w:rPr>
                <w:rFonts w:hint="eastAsia" w:ascii="宋体"/>
                <w:color w:val="000000"/>
                <w:sz w:val="24"/>
                <w:szCs w:val="24"/>
                <w:lang w:val="en-US" w:eastAsia="zh-CN"/>
              </w:rPr>
              <w:t>4.6260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i w:val="0"/>
          <w:caps w:val="0"/>
          <w:color w:val="000000"/>
          <w:spacing w:val="0"/>
          <w:sz w:val="32"/>
          <w:szCs w:val="32"/>
        </w:rPr>
      </w:pPr>
      <w:r>
        <w:rPr>
          <w:rFonts w:hint="eastAsia" w:ascii="方正黑体简体" w:hAnsi="方正黑体简体" w:eastAsia="方正黑体简体" w:cs="方正黑体简体"/>
          <w:b w:val="0"/>
          <w:bCs/>
          <w:i w:val="0"/>
          <w:caps w:val="0"/>
          <w:color w:val="000000"/>
          <w:spacing w:val="0"/>
          <w:sz w:val="32"/>
          <w:szCs w:val="32"/>
        </w:rPr>
        <w:t>三、收到和处理政府信息公开申请情况</w:t>
      </w:r>
    </w:p>
    <w:tbl>
      <w:tblPr>
        <w:tblStyle w:val="5"/>
        <w:tblW w:w="967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148"/>
        <w:gridCol w:w="759"/>
        <w:gridCol w:w="2254"/>
        <w:gridCol w:w="813"/>
        <w:gridCol w:w="755"/>
        <w:gridCol w:w="755"/>
        <w:gridCol w:w="813"/>
        <w:gridCol w:w="973"/>
        <w:gridCol w:w="711"/>
        <w:gridCol w:w="6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161"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813"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自然人</w:t>
            </w:r>
          </w:p>
        </w:tc>
        <w:tc>
          <w:tcPr>
            <w:tcW w:w="400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法人或其他组织</w:t>
            </w:r>
          </w:p>
        </w:tc>
        <w:tc>
          <w:tcPr>
            <w:tcW w:w="695"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813"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商业企业</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科研机构</w:t>
            </w:r>
          </w:p>
        </w:tc>
        <w:tc>
          <w:tcPr>
            <w:tcW w:w="81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社会公益组织</w:t>
            </w:r>
          </w:p>
        </w:tc>
        <w:tc>
          <w:tcPr>
            <w:tcW w:w="97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法律服务机构</w:t>
            </w:r>
          </w:p>
        </w:tc>
        <w:tc>
          <w:tcPr>
            <w:tcW w:w="71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w:t>
            </w:r>
          </w:p>
        </w:tc>
        <w:tc>
          <w:tcPr>
            <w:tcW w:w="695"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6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一、本年新收政府信息公开申请数量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6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二、上年结转政府信息公开申请数量</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三、本年度办理结果</w:t>
            </w:r>
          </w:p>
        </w:tc>
        <w:tc>
          <w:tcPr>
            <w:tcW w:w="30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ascii="楷体" w:hAnsi="楷体" w:eastAsia="楷体" w:cs="楷体"/>
                <w:color w:val="000000"/>
                <w:kern w:val="0"/>
                <w:sz w:val="20"/>
                <w:szCs w:val="20"/>
                <w:lang w:val="en-US" w:eastAsia="zh-CN" w:bidi="ar"/>
              </w:rPr>
              <w:t>（一）予以公开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30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（二）部分公开（区分处理的，只计这一情形，不计其他情形）</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eastAsia"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楷体" w:hAnsi="楷体" w:eastAsia="楷体" w:cs="楷体"/>
                <w:color w:val="000000"/>
                <w:kern w:val="0"/>
                <w:sz w:val="20"/>
                <w:szCs w:val="20"/>
                <w:lang w:val="en-US" w:eastAsia="zh-CN" w:bidi="ar"/>
              </w:rPr>
              <w:t>（三）不予公开</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1.属于国家秘密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2.其他法律行政法规禁止公开</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3.危及“三安全一稳定”</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eastAsia"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4.保护第三方合法权益</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5.属于三类内部事务信息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6.属于四类过程性信息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7.属于行政执法案卷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8.属于行政查询事项</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楷体" w:hAnsi="楷体" w:eastAsia="楷体" w:cs="楷体"/>
                <w:color w:val="000000"/>
                <w:kern w:val="0"/>
                <w:sz w:val="20"/>
                <w:szCs w:val="20"/>
                <w:lang w:val="en-US" w:eastAsia="zh-CN" w:bidi="ar"/>
              </w:rPr>
              <w:t>（四）无法提供</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1.本机关不掌握相关政府信息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2.没有现成信息需要另行制作</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3.补正后申请内容仍不明确</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楷体" w:hAnsi="楷体" w:eastAsia="楷体" w:cs="楷体"/>
                <w:color w:val="000000"/>
                <w:kern w:val="0"/>
                <w:sz w:val="20"/>
                <w:szCs w:val="20"/>
                <w:lang w:val="en-US" w:eastAsia="zh-CN" w:bidi="ar"/>
              </w:rPr>
              <w:t>（五）不予处理</w:t>
            </w: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1.信访举报投诉类申请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2.重复申请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3.要求提供公开出版物</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eastAsia" w:ascii="Times New Roman" w:hAnsi="Times New Roman" w:cs="Times New Roman"/>
                <w:color w:val="000000"/>
                <w:kern w:val="0"/>
                <w:sz w:val="20"/>
                <w:szCs w:val="20"/>
                <w:lang w:val="en-US" w:eastAsia="zh-CN" w:bidi="ar"/>
              </w:rPr>
              <w:t>0</w:t>
            </w:r>
            <w:r>
              <w:rPr>
                <w:rFonts w:hint="default" w:ascii="Times New Roman" w:hAnsi="Times New Roman" w:cs="Times New Roman" w:eastAsiaTheme="minorEastAsia"/>
                <w:color w:val="000000"/>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4.无正当理由大量反复申请</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56" w:hRule="atLeast"/>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759"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225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5.要求行政机关确认或重新出具已获取信息</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30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（六）其他处理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eastAsiaTheme="minorEastAsia"/>
                <w:color w:val="000000"/>
                <w:lang w:val="en-US" w:eastAsia="zh-CN"/>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14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3013" w:type="dxa"/>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楷体" w:hAnsi="楷体" w:eastAsia="楷体" w:cs="楷体"/>
                <w:color w:val="000000"/>
                <w:kern w:val="0"/>
                <w:sz w:val="20"/>
                <w:szCs w:val="20"/>
                <w:lang w:val="en-US" w:eastAsia="zh-CN" w:bidi="ar"/>
              </w:rPr>
              <w:t>（七）总计</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lang w:val="en-US"/>
              </w:rPr>
            </w:pPr>
            <w:r>
              <w:rPr>
                <w:rFonts w:hint="default" w:ascii="Times New Roman" w:hAnsi="Times New Roman" w:cs="Times New Roman" w:eastAsiaTheme="minorEastAsia"/>
                <w:color w:val="000000"/>
                <w:kern w:val="0"/>
                <w:sz w:val="20"/>
                <w:szCs w:val="20"/>
                <w:lang w:val="en-US" w:eastAsia="zh-CN" w:bidi="ar"/>
              </w:rPr>
              <w:t> </w:t>
            </w:r>
            <w:r>
              <w:rPr>
                <w:rFonts w:hint="eastAsia" w:ascii="Times New Roman" w:hAnsi="Times New Roman" w:cs="Times New Roman"/>
                <w:color w:val="000000"/>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161" w:type="dxa"/>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rPr>
            </w:pPr>
            <w:r>
              <w:rPr>
                <w:rFonts w:hint="eastAsia" w:ascii="宋体" w:hAnsi="宋体" w:eastAsia="宋体" w:cs="宋体"/>
                <w:color w:val="000000"/>
                <w:kern w:val="0"/>
                <w:sz w:val="20"/>
                <w:szCs w:val="20"/>
                <w:lang w:val="en-US" w:eastAsia="zh-CN" w:bidi="ar"/>
              </w:rPr>
              <w:t>四、结转下年度继续办理</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5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81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97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711"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color w:val="000000"/>
              </w:rPr>
            </w:pPr>
            <w:r>
              <w:rPr>
                <w:rFonts w:hint="default" w:ascii="Times New Roman" w:hAnsi="Times New Roman" w:cs="Times New Roman" w:eastAsiaTheme="minorEastAsia"/>
                <w:color w:val="000000"/>
                <w:kern w:val="0"/>
                <w:sz w:val="20"/>
                <w:szCs w:val="20"/>
                <w:lang w:val="en-US" w:eastAsia="zh-CN" w:bidi="ar"/>
              </w:rPr>
              <w:t> </w:t>
            </w:r>
          </w:p>
        </w:tc>
        <w:tc>
          <w:tcPr>
            <w:tcW w:w="69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eastAsiaTheme="minorEastAsia"/>
                <w:color w:val="000000"/>
                <w:sz w:val="24"/>
                <w:szCs w:val="24"/>
                <w:lang w:val="en-US" w:eastAsia="zh-CN"/>
              </w:rPr>
            </w:pPr>
            <w:r>
              <w:rPr>
                <w:rFonts w:hint="eastAsia" w:ascii="Times New Roman" w:hAnsi="Times New Roman" w:cs="Times New Roman"/>
                <w:color w:val="000000"/>
                <w:sz w:val="24"/>
                <w:szCs w:val="24"/>
                <w:lang w:val="en-US" w:eastAsia="zh-CN"/>
              </w:rPr>
              <w:t>0</w:t>
            </w:r>
            <w:bookmarkStart w:id="0" w:name="_GoBack"/>
            <w:bookmarkEnd w:id="0"/>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right="0"/>
        <w:jc w:val="both"/>
        <w:rPr>
          <w:rFonts w:hint="eastAsia" w:ascii="宋体" w:hAnsi="宋体" w:eastAsia="宋体" w:cs="宋体"/>
          <w:b/>
          <w:i w:val="0"/>
          <w:caps w:val="0"/>
          <w:color w:val="000000"/>
          <w:spacing w:val="0"/>
          <w:sz w:val="24"/>
          <w:szCs w:val="24"/>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jc w:val="both"/>
        <w:rPr>
          <w:rFonts w:hint="eastAsia" w:ascii="宋体" w:hAnsi="宋体" w:eastAsia="宋体" w:cs="宋体"/>
          <w:b/>
          <w:i w:val="0"/>
          <w:caps w:val="0"/>
          <w:color w:val="000000"/>
          <w:spacing w:val="0"/>
          <w:sz w:val="24"/>
          <w:szCs w:val="24"/>
        </w:rPr>
      </w:pP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7" w:afterLines="50" w:afterAutospacing="0" w:line="500" w:lineRule="exact"/>
        <w:ind w:left="0" w:leftChars="0" w:right="0" w:rightChars="0" w:firstLine="640" w:firstLineChars="200"/>
        <w:jc w:val="both"/>
        <w:textAlignment w:val="auto"/>
        <w:outlineLvl w:val="9"/>
        <w:rPr>
          <w:rFonts w:hint="eastAsia" w:ascii="方正黑体简体" w:hAnsi="方正黑体简体" w:eastAsia="方正黑体简体" w:cs="方正黑体简体"/>
          <w:b w:val="0"/>
          <w:bCs/>
          <w:i w:val="0"/>
          <w:caps w:val="0"/>
          <w:color w:val="000000"/>
          <w:spacing w:val="0"/>
          <w:sz w:val="32"/>
          <w:szCs w:val="32"/>
        </w:rPr>
      </w:pPr>
      <w:r>
        <w:rPr>
          <w:rFonts w:hint="eastAsia" w:ascii="方正黑体简体" w:hAnsi="方正黑体简体" w:eastAsia="方正黑体简体" w:cs="方正黑体简体"/>
          <w:b w:val="0"/>
          <w:bCs/>
          <w:i w:val="0"/>
          <w:caps w:val="0"/>
          <w:color w:val="000000"/>
          <w:spacing w:val="0"/>
          <w:sz w:val="32"/>
          <w:szCs w:val="32"/>
        </w:rPr>
        <w:t>政府信息公开行政复议、行政诉讼情况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297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结果维持</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结果纠正</w:t>
            </w:r>
          </w:p>
        </w:tc>
        <w:tc>
          <w:tcPr>
            <w:tcW w:w="605"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其他结果</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尚未审结</w:t>
            </w:r>
          </w:p>
        </w:tc>
        <w:tc>
          <w:tcPr>
            <w:tcW w:w="60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p>
        </w:tc>
        <w:tc>
          <w:tcPr>
            <w:tcW w:w="604"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default" w:ascii="Calibri" w:hAnsi="Calibri" w:cs="Calibri" w:eastAsiaTheme="minorEastAsia"/>
                <w:color w:val="000000"/>
                <w:kern w:val="0"/>
                <w:sz w:val="20"/>
                <w:szCs w:val="20"/>
                <w:lang w:val="en-US" w:eastAsia="zh-CN" w:bidi="ar"/>
              </w:rPr>
              <w:t> </w:t>
            </w:r>
          </w:p>
        </w:tc>
        <w:tc>
          <w:tcPr>
            <w:tcW w:w="65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color w:val="000000"/>
                <w:lang w:val="en-US" w:eastAsia="zh-CN"/>
              </w:rPr>
            </w:pPr>
            <w:r>
              <w:rPr>
                <w:rFonts w:hint="eastAsia"/>
                <w:color w:val="000000"/>
                <w:lang w:val="en-US" w:eastAsia="zh-CN"/>
              </w:rPr>
              <w:t>0</w:t>
            </w:r>
          </w:p>
        </w:tc>
        <w:tc>
          <w:tcPr>
            <w:tcW w:w="5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color w:val="000000"/>
                <w:lang w:val="en-US"/>
              </w:rPr>
            </w:pPr>
            <w:r>
              <w:rPr>
                <w:rFonts w:hint="eastAsia" w:ascii="宋体" w:hAnsi="宋体" w:eastAsia="宋体" w:cs="宋体"/>
                <w:color w:val="000000"/>
                <w:kern w:val="0"/>
                <w:sz w:val="20"/>
                <w:szCs w:val="20"/>
                <w:lang w:val="en-US" w:eastAsia="zh-CN" w:bidi="ar"/>
              </w:rPr>
              <w:t> 0</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5"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rPr>
            </w:pPr>
            <w:r>
              <w:rPr>
                <w:rFonts w:hint="eastAsia" w:ascii="宋体" w:hAnsi="宋体" w:eastAsia="宋体" w:cs="宋体"/>
                <w:color w:val="000000"/>
                <w:kern w:val="0"/>
                <w:sz w:val="20"/>
                <w:szCs w:val="20"/>
                <w:lang w:val="en-US" w:eastAsia="zh-CN" w:bidi="ar"/>
              </w:rPr>
              <w:t> </w:t>
            </w:r>
          </w:p>
        </w:tc>
        <w:tc>
          <w:tcPr>
            <w:tcW w:w="60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eastAsiaTheme="minorEastAsia"/>
                <w:color w:val="000000"/>
                <w:sz w:val="24"/>
                <w:szCs w:val="24"/>
                <w:lang w:val="en-US" w:eastAsia="zh-CN"/>
              </w:rPr>
            </w:pPr>
            <w:r>
              <w:rPr>
                <w:rFonts w:hint="eastAsia" w:ascii="宋体"/>
                <w:color w:val="000000"/>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方正黑体简体" w:hAnsi="方正黑体简体" w:eastAsia="方正黑体简体" w:cs="方正黑体简体"/>
          <w:b w:val="0"/>
          <w:bCs/>
          <w:i w:val="0"/>
          <w:caps w:val="0"/>
          <w:color w:val="000000"/>
          <w:spacing w:val="0"/>
          <w:sz w:val="32"/>
          <w:szCs w:val="32"/>
        </w:rPr>
      </w:pPr>
      <w:r>
        <w:rPr>
          <w:rFonts w:hint="eastAsia" w:ascii="方正黑体简体" w:hAnsi="方正黑体简体" w:eastAsia="方正黑体简体" w:cs="方正黑体简体"/>
          <w:b w:val="0"/>
          <w:bCs/>
          <w:i w:val="0"/>
          <w:caps w:val="0"/>
          <w:color w:val="000000"/>
          <w:spacing w:val="0"/>
          <w:sz w:val="32"/>
          <w:szCs w:val="32"/>
        </w:rPr>
        <w:t>五、存在的主要问题及改进情况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一是制度机制建设</w:t>
      </w:r>
      <w:r>
        <w:rPr>
          <w:rFonts w:hint="eastAsia" w:ascii="仿宋_GB2312" w:eastAsia="仿宋_GB2312"/>
          <w:sz w:val="32"/>
          <w:szCs w:val="32"/>
          <w:lang w:eastAsia="zh-CN"/>
        </w:rPr>
        <w:t>方面</w:t>
      </w:r>
      <w:r>
        <w:rPr>
          <w:rFonts w:hint="eastAsia" w:ascii="仿宋_GB2312" w:eastAsia="仿宋_GB2312"/>
          <w:sz w:val="32"/>
          <w:szCs w:val="32"/>
        </w:rPr>
        <w:t>。主要表现为建立完善主动公开、依申请公开信息等制度规范不够，健全公开工作机制不够，</w:t>
      </w:r>
      <w:r>
        <w:rPr>
          <w:rFonts w:hint="eastAsia" w:ascii="仿宋_GB2312" w:eastAsia="仿宋_GB2312"/>
          <w:sz w:val="32"/>
          <w:szCs w:val="32"/>
          <w:lang w:eastAsia="zh-CN"/>
        </w:rPr>
        <w:t>下一步</w:t>
      </w:r>
      <w:r>
        <w:rPr>
          <w:rFonts w:hint="eastAsia" w:ascii="仿宋_GB2312" w:eastAsia="仿宋_GB2312"/>
          <w:sz w:val="32"/>
          <w:szCs w:val="32"/>
        </w:rPr>
        <w:t>我局将认真贯彻落实区委、区政府有关年度工作部署，紧紧围绕经济社会发展和人民群众关切，以社会需求为导向，以制度机制为基础，继续深入推进政府信息与政务公开工作。</w:t>
      </w:r>
      <w:r>
        <w:rPr>
          <w:rFonts w:hint="eastAsia" w:eastAsia="仿宋_GB2312"/>
          <w:sz w:val="32"/>
          <w:szCs w:val="32"/>
        </w:rPr>
        <w:t> </w:t>
      </w:r>
    </w:p>
    <w:p>
      <w:pPr>
        <w:spacing w:line="560" w:lineRule="exact"/>
        <w:ind w:firstLine="640" w:firstLineChars="200"/>
        <w:rPr>
          <w:rFonts w:hint="eastAsia" w:ascii="方正仿宋简体" w:hAnsi="方正仿宋简体" w:eastAsia="方正仿宋简体" w:cs="方正仿宋简体"/>
          <w:b w:val="0"/>
          <w:i w:val="0"/>
          <w:caps w:val="0"/>
          <w:color w:val="000000"/>
          <w:spacing w:val="0"/>
          <w:sz w:val="32"/>
          <w:szCs w:val="32"/>
        </w:rPr>
      </w:pPr>
      <w:r>
        <w:rPr>
          <w:rFonts w:hint="eastAsia" w:ascii="仿宋_GB2312" w:eastAsia="仿宋_GB2312"/>
          <w:sz w:val="32"/>
          <w:szCs w:val="32"/>
        </w:rPr>
        <w:t>二是重点领域公开</w:t>
      </w:r>
      <w:r>
        <w:rPr>
          <w:rFonts w:hint="eastAsia" w:ascii="仿宋_GB2312" w:eastAsia="仿宋_GB2312"/>
          <w:sz w:val="32"/>
          <w:szCs w:val="32"/>
          <w:lang w:eastAsia="zh-CN"/>
        </w:rPr>
        <w:t>方面</w:t>
      </w:r>
      <w:r>
        <w:rPr>
          <w:rFonts w:hint="eastAsia" w:ascii="仿宋_GB2312" w:eastAsia="仿宋_GB2312"/>
          <w:sz w:val="32"/>
          <w:szCs w:val="32"/>
        </w:rPr>
        <w:t>。重点领域信息公开的</w:t>
      </w:r>
      <w:r>
        <w:rPr>
          <w:rFonts w:hint="eastAsia" w:ascii="仿宋_GB2312" w:eastAsia="仿宋_GB2312"/>
          <w:sz w:val="32"/>
          <w:szCs w:val="32"/>
          <w:lang w:eastAsia="zh-CN"/>
        </w:rPr>
        <w:t>范围</w:t>
      </w:r>
      <w:r>
        <w:rPr>
          <w:rFonts w:hint="eastAsia" w:ascii="仿宋_GB2312" w:eastAsia="仿宋_GB2312"/>
          <w:sz w:val="32"/>
          <w:szCs w:val="32"/>
        </w:rPr>
        <w:t>、深度、质量等仍然存在有一定程度</w:t>
      </w:r>
      <w:r>
        <w:rPr>
          <w:rFonts w:hint="eastAsia" w:ascii="仿宋_GB2312" w:eastAsia="仿宋_GB2312"/>
          <w:sz w:val="32"/>
          <w:szCs w:val="32"/>
          <w:lang w:eastAsia="zh-CN"/>
        </w:rPr>
        <w:t>不足</w:t>
      </w:r>
      <w:r>
        <w:rPr>
          <w:rFonts w:hint="eastAsia" w:ascii="仿宋_GB2312" w:eastAsia="仿宋_GB2312"/>
          <w:sz w:val="32"/>
          <w:szCs w:val="32"/>
        </w:rPr>
        <w:t>。</w:t>
      </w:r>
      <w:r>
        <w:rPr>
          <w:rFonts w:hint="eastAsia" w:ascii="仿宋_GB2312" w:eastAsia="仿宋_GB2312"/>
          <w:sz w:val="32"/>
          <w:szCs w:val="32"/>
          <w:lang w:eastAsia="zh-CN"/>
        </w:rPr>
        <w:t>下一步我们将</w:t>
      </w:r>
      <w:r>
        <w:rPr>
          <w:rFonts w:hint="eastAsia" w:ascii="仿宋_GB2312" w:eastAsia="仿宋_GB2312" w:hAnsiTheme="minorHAnsi" w:cstheme="minorBidi"/>
          <w:kern w:val="2"/>
          <w:sz w:val="32"/>
          <w:szCs w:val="32"/>
          <w:lang w:val="en-US" w:eastAsia="zh-CN" w:bidi="ar-SA"/>
        </w:rPr>
        <w:t>不断创新工作方式方法，突出重点，注重实效，进一步细化信息公开工作流程，拓宽公开渠道，</w:t>
      </w:r>
      <w:r>
        <w:rPr>
          <w:rFonts w:hint="eastAsia" w:ascii="仿宋_GB2312" w:eastAsia="仿宋_GB2312" w:cstheme="minorBidi"/>
          <w:kern w:val="2"/>
          <w:sz w:val="32"/>
          <w:szCs w:val="32"/>
          <w:lang w:val="en-US" w:eastAsia="zh-CN" w:bidi="ar-SA"/>
        </w:rPr>
        <w:t>并</w:t>
      </w:r>
      <w:r>
        <w:rPr>
          <w:rFonts w:hint="eastAsia" w:ascii="仿宋_GB2312" w:eastAsia="仿宋_GB2312" w:hAnsiTheme="minorHAnsi" w:cstheme="minorBidi"/>
          <w:kern w:val="2"/>
          <w:sz w:val="32"/>
          <w:szCs w:val="32"/>
          <w:lang w:val="en-US" w:eastAsia="zh-CN" w:bidi="ar-SA"/>
        </w:rPr>
        <w:t>加强信息报送工作力度</w:t>
      </w:r>
      <w:r>
        <w:rPr>
          <w:rFonts w:hint="eastAsia" w:ascii="仿宋_GB2312" w:eastAsia="仿宋_GB2312" w:cstheme="minorBidi"/>
          <w:kern w:val="2"/>
          <w:sz w:val="32"/>
          <w:szCs w:val="32"/>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outlineLvl w:val="9"/>
        <w:rPr>
          <w:rFonts w:hint="eastAsia" w:ascii="方正黑体简体" w:hAnsi="方正黑体简体" w:eastAsia="方正黑体简体" w:cs="方正黑体简体"/>
          <w:b w:val="0"/>
          <w:bCs/>
          <w:i w:val="0"/>
          <w:caps w:val="0"/>
          <w:color w:val="000000"/>
          <w:spacing w:val="0"/>
          <w:sz w:val="32"/>
          <w:szCs w:val="32"/>
        </w:rPr>
      </w:pPr>
      <w:r>
        <w:rPr>
          <w:rFonts w:hint="eastAsia" w:ascii="方正黑体简体" w:hAnsi="方正黑体简体" w:eastAsia="方正黑体简体" w:cs="方正黑体简体"/>
          <w:b w:val="0"/>
          <w:bCs/>
          <w:i w:val="0"/>
          <w:caps w:val="0"/>
          <w:color w:val="000000"/>
          <w:spacing w:val="0"/>
          <w:sz w:val="32"/>
          <w:szCs w:val="32"/>
        </w:rPr>
        <w:t>六、其他需要报告的事项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960" w:firstLineChars="300"/>
        <w:jc w:val="both"/>
        <w:textAlignment w:val="auto"/>
        <w:outlineLvl w:val="9"/>
        <w:rPr>
          <w:rFonts w:hint="eastAsia" w:ascii="方正仿宋简体" w:hAnsi="方正仿宋简体" w:eastAsia="方正仿宋简体" w:cs="方正仿宋简体"/>
          <w:b w:val="0"/>
          <w:i w:val="0"/>
          <w:caps w:val="0"/>
          <w:color w:val="000000"/>
          <w:spacing w:val="0"/>
          <w:sz w:val="32"/>
          <w:szCs w:val="32"/>
          <w:lang w:eastAsia="zh-CN"/>
        </w:rPr>
      </w:pPr>
      <w:r>
        <w:rPr>
          <w:rFonts w:hint="eastAsia" w:ascii="方正仿宋简体" w:hAnsi="方正仿宋简体" w:eastAsia="方正仿宋简体" w:cs="方正仿宋简体"/>
          <w:b w:val="0"/>
          <w:i w:val="0"/>
          <w:caps w:val="0"/>
          <w:color w:val="000000"/>
          <w:spacing w:val="0"/>
          <w:sz w:val="32"/>
          <w:szCs w:val="32"/>
          <w:lang w:eastAsia="zh-CN"/>
        </w:rPr>
        <w:t>无</w:t>
      </w:r>
    </w:p>
    <w:p/>
    <w:sectPr>
      <w:footerReference r:id="rId3" w:type="default"/>
      <w:footerReference r:id="rId4" w:type="even"/>
      <w:pgSz w:w="11906" w:h="16838"/>
      <w:pgMar w:top="1701" w:right="1587" w:bottom="1587" w:left="1587" w:header="851" w:footer="992" w:gutter="0"/>
      <w:pgNumType w:fmt="numberInDash" w:start="4"/>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altName w:val="微软雅黑"/>
    <w:panose1 w:val="02010601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4903470</wp:posOffset>
              </wp:positionH>
              <wp:positionV relativeFrom="paragraph">
                <wp:posOffset>-200025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86.1pt;margin-top:-15.75pt;height:144pt;width:144pt;mso-position-horizontal-relative:margin;mso-wrap-style:none;z-index:251658240;mso-width-relative:page;mso-height-relative:page;" filled="f" stroked="f" coordsize="21600,21600" o:gfxdata="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MFnLf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266700</wp:posOffset>
              </wp:positionH>
              <wp:positionV relativeFrom="paragraph">
                <wp:posOffset>-200025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1pt;margin-top:-15.75pt;height:144pt;width:144pt;mso-position-horizontal-relative:margin;mso-wrap-style:none;z-index:251659264;mso-width-relative:page;mso-height-relative:page;" filled="f" stroked="f" coordsize="21600,21600" o:gfxdata="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ZlEFdgAAAAKAQAADwAAAAAAAAABACAAAAAiAAAAZHJzL2Rvd25yZXYueG1s&#10;UEsBAhQAFAAAAAgAh07iQCSCRrQxAgAAYQQAAA4AAAAAAAAAAQAgAAAAJwEAAGRycy9lMm9Eb2Mu&#10;eG1sUEsFBgAAAAAGAAYAWQEAAMo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- 4 -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410EC"/>
    <w:multiLevelType w:val="singleLevel"/>
    <w:tmpl w:val="5FF410EC"/>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75190"/>
    <w:rsid w:val="05232D73"/>
    <w:rsid w:val="056135B1"/>
    <w:rsid w:val="05DE3DE7"/>
    <w:rsid w:val="0D8976EE"/>
    <w:rsid w:val="0FC410E3"/>
    <w:rsid w:val="1A090ECA"/>
    <w:rsid w:val="1AC86AE0"/>
    <w:rsid w:val="1C173B6A"/>
    <w:rsid w:val="1F402B8B"/>
    <w:rsid w:val="20EC2E0E"/>
    <w:rsid w:val="2203118B"/>
    <w:rsid w:val="273F459B"/>
    <w:rsid w:val="2BBC17EE"/>
    <w:rsid w:val="2C6C3543"/>
    <w:rsid w:val="2E137ACC"/>
    <w:rsid w:val="300710C9"/>
    <w:rsid w:val="37B876DE"/>
    <w:rsid w:val="399B3A3F"/>
    <w:rsid w:val="3F4E6AB4"/>
    <w:rsid w:val="43314C0F"/>
    <w:rsid w:val="463F2683"/>
    <w:rsid w:val="476A67BE"/>
    <w:rsid w:val="48007D21"/>
    <w:rsid w:val="54E92B9E"/>
    <w:rsid w:val="574C492F"/>
    <w:rsid w:val="578F3F97"/>
    <w:rsid w:val="586A6AC3"/>
    <w:rsid w:val="605968C4"/>
    <w:rsid w:val="65D91EE4"/>
    <w:rsid w:val="67C05E78"/>
    <w:rsid w:val="6A2E7D40"/>
    <w:rsid w:val="725633E1"/>
    <w:rsid w:val="75004421"/>
    <w:rsid w:val="76EA0D3A"/>
    <w:rsid w:val="76EE758E"/>
    <w:rsid w:val="7D2A4484"/>
    <w:rsid w:val="7DD75B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石孟</cp:lastModifiedBy>
  <dcterms:modified xsi:type="dcterms:W3CDTF">2021-01-18T08:02:50Z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