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val="0"/>
        <w:snapToGrid/>
        <w:spacing w:beforeLines="0" w:afterLines="0" w:line="560" w:lineRule="exact"/>
        <w:ind w:left="0" w:right="0"/>
        <w:jc w:val="center"/>
        <w:textAlignment w:val="auto"/>
        <w:outlineLvl w:val="0"/>
        <w:rPr>
          <w:rFonts w:hint="default" w:ascii="Times New Roman" w:hAnsi="Times New Roman" w:eastAsia="方正小标宋简体" w:cs="Times New Roman"/>
          <w:color w:val="auto"/>
          <w:sz w:val="44"/>
          <w:szCs w:val="44"/>
          <w:highlight w:val="none"/>
          <w:lang w:val="en-US" w:eastAsia="zh-CN"/>
        </w:rPr>
      </w:pPr>
    </w:p>
    <w:p>
      <w:pPr>
        <w:keepNext w:val="0"/>
        <w:keepLines w:val="0"/>
        <w:pageBreakBefore w:val="0"/>
        <w:widowControl w:val="0"/>
        <w:kinsoku w:val="0"/>
        <w:wordWrap/>
        <w:overflowPunct w:val="0"/>
        <w:topLinePunct w:val="0"/>
        <w:autoSpaceDE w:val="0"/>
        <w:autoSpaceDN w:val="0"/>
        <w:bidi w:val="0"/>
        <w:adjustRightInd w:val="0"/>
        <w:snapToGrid/>
        <w:spacing w:beforeLines="0" w:afterLines="0" w:line="560" w:lineRule="exact"/>
        <w:ind w:left="0" w:right="0"/>
        <w:jc w:val="center"/>
        <w:textAlignment w:val="auto"/>
        <w:outlineLvl w:val="0"/>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二七区产业发展规划纲要（2021-2035）</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jc w:val="center"/>
        <w:textAlignment w:val="auto"/>
        <w:rPr>
          <w:rFonts w:hint="default" w:ascii="Times New Roman" w:hAnsi="Times New Roman" w:eastAsia="楷体_GB2312" w:cs="Times New Roman"/>
          <w:color w:val="auto"/>
          <w:sz w:val="32"/>
          <w:szCs w:val="32"/>
          <w:highlight w:val="none"/>
          <w:lang w:val="en-US" w:eastAsia="zh-CN"/>
        </w:rPr>
      </w:pP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jc w:val="center"/>
        <w:textAlignment w:val="auto"/>
        <w:outlineLvl w:val="0"/>
        <w:rPr>
          <w:rFonts w:hint="default" w:ascii="Times New Roman" w:hAnsi="Times New Roman" w:eastAsia="方正楷体简体" w:cs="Times New Roman"/>
          <w:b/>
          <w:bCs/>
          <w:color w:val="auto"/>
          <w:sz w:val="32"/>
          <w:szCs w:val="32"/>
          <w:highlight w:val="none"/>
          <w:lang w:val="en-US" w:eastAsia="zh-CN"/>
        </w:rPr>
      </w:pPr>
      <w:r>
        <w:rPr>
          <w:rFonts w:hint="default" w:ascii="Times New Roman" w:hAnsi="Times New Roman" w:eastAsia="方正楷体简体" w:cs="Times New Roman"/>
          <w:b/>
          <w:bCs/>
          <w:color w:val="auto"/>
          <w:sz w:val="32"/>
          <w:szCs w:val="32"/>
          <w:highlight w:val="none"/>
          <w:lang w:val="en-US" w:eastAsia="zh-CN"/>
        </w:rPr>
        <w:t>前  言</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我国经济已由高速增长阶段转向高质量发展阶段，正处在转变发展方式、优化经济结构、转换增长动力的攻关期。建设现代化经济体系是跨越关口的迫切要求和我国发展的战略目标。</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新一轮科技革命和产业变革深入发展，以数字化、网络化、 智能化为核心特征的第四次工业革命正在加速形成，为</w:t>
      </w:r>
      <w:r>
        <w:rPr>
          <w:rFonts w:hint="default" w:ascii="Times New Roman" w:hAnsi="Times New Roman" w:cs="Times New Roman"/>
          <w:b w:val="0"/>
          <w:bCs w:val="0"/>
          <w:color w:val="auto"/>
          <w:sz w:val="32"/>
          <w:szCs w:val="32"/>
          <w:highlight w:val="none"/>
          <w:lang w:val="en-US" w:eastAsia="zh-CN"/>
        </w:rPr>
        <w:t>二七</w:t>
      </w:r>
      <w:r>
        <w:rPr>
          <w:rFonts w:hint="default" w:ascii="Times New Roman" w:hAnsi="Times New Roman" w:eastAsia="仿宋_GB2312" w:cs="Times New Roman"/>
          <w:b w:val="0"/>
          <w:bCs w:val="0"/>
          <w:color w:val="auto"/>
          <w:sz w:val="32"/>
          <w:szCs w:val="32"/>
          <w:highlight w:val="none"/>
          <w:lang w:val="en-US" w:eastAsia="zh-CN"/>
        </w:rPr>
        <w:t>区加快新旧动能转换、实现创新驱动发展、形成发展新优势提供了契机。</w:t>
      </w:r>
      <w:r>
        <w:rPr>
          <w:rFonts w:hint="default" w:ascii="Times New Roman" w:hAnsi="Times New Roman" w:cs="Times New Roman"/>
          <w:b w:val="0"/>
          <w:bCs w:val="0"/>
          <w:color w:val="auto"/>
          <w:sz w:val="32"/>
          <w:szCs w:val="32"/>
          <w:highlight w:val="none"/>
          <w:lang w:val="en-US" w:eastAsia="zh-CN"/>
        </w:rPr>
        <w:t>二七区</w:t>
      </w:r>
      <w:r>
        <w:rPr>
          <w:rFonts w:hint="default" w:ascii="Times New Roman" w:hAnsi="Times New Roman" w:eastAsia="仿宋_GB2312" w:cs="Times New Roman"/>
          <w:b w:val="0"/>
          <w:bCs w:val="0"/>
          <w:color w:val="auto"/>
          <w:sz w:val="32"/>
          <w:szCs w:val="32"/>
          <w:highlight w:val="none"/>
          <w:lang w:val="en-US" w:eastAsia="zh-CN"/>
        </w:rPr>
        <w:t>应把握机遇，在准确识变、科学应变、主动求变的基础上全面深化改革，集聚产业发展新动能，打造产业发展新空间，推动产业高质量发展。</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本规划</w:t>
      </w:r>
      <w:r>
        <w:rPr>
          <w:rFonts w:hint="default" w:ascii="Times New Roman" w:hAnsi="Times New Roman" w:cs="Times New Roman"/>
          <w:b w:val="0"/>
          <w:bCs w:val="0"/>
          <w:color w:val="auto"/>
          <w:sz w:val="32"/>
          <w:szCs w:val="32"/>
          <w:highlight w:val="none"/>
          <w:lang w:val="en-US" w:eastAsia="zh-CN"/>
        </w:rPr>
        <w:t>纲要</w:t>
      </w:r>
      <w:r>
        <w:rPr>
          <w:rFonts w:hint="default" w:ascii="Times New Roman" w:hAnsi="Times New Roman" w:eastAsia="仿宋_GB2312" w:cs="Times New Roman"/>
          <w:b w:val="0"/>
          <w:bCs w:val="0"/>
          <w:color w:val="auto"/>
          <w:sz w:val="32"/>
          <w:szCs w:val="32"/>
          <w:highlight w:val="none"/>
          <w:lang w:val="en-US" w:eastAsia="zh-CN"/>
        </w:rPr>
        <w:t>旨在为</w:t>
      </w:r>
      <w:r>
        <w:rPr>
          <w:rFonts w:hint="default" w:ascii="Times New Roman" w:hAnsi="Times New Roman" w:cs="Times New Roman"/>
          <w:b w:val="0"/>
          <w:bCs w:val="0"/>
          <w:color w:val="auto"/>
          <w:sz w:val="32"/>
          <w:szCs w:val="32"/>
          <w:highlight w:val="none"/>
          <w:lang w:val="en-US" w:eastAsia="zh-CN"/>
        </w:rPr>
        <w:t>二七</w:t>
      </w:r>
      <w:r>
        <w:rPr>
          <w:rFonts w:hint="default" w:ascii="Times New Roman" w:hAnsi="Times New Roman" w:eastAsia="仿宋_GB2312" w:cs="Times New Roman"/>
          <w:b w:val="0"/>
          <w:bCs w:val="0"/>
          <w:color w:val="auto"/>
          <w:sz w:val="32"/>
          <w:szCs w:val="32"/>
          <w:highlight w:val="none"/>
          <w:lang w:val="en-US" w:eastAsia="zh-CN"/>
        </w:rPr>
        <w:t>区</w:t>
      </w:r>
      <w:r>
        <w:rPr>
          <w:rFonts w:hint="default" w:ascii="Times New Roman" w:hAnsi="Times New Roman" w:cs="Times New Roman"/>
          <w:b w:val="0"/>
          <w:bCs w:val="0"/>
          <w:color w:val="auto"/>
          <w:sz w:val="32"/>
          <w:szCs w:val="32"/>
          <w:highlight w:val="none"/>
          <w:lang w:val="en-US" w:eastAsia="zh-CN"/>
        </w:rPr>
        <w:t>2021年到2035年期间</w:t>
      </w:r>
      <w:r>
        <w:rPr>
          <w:rFonts w:hint="default" w:ascii="Times New Roman" w:hAnsi="Times New Roman" w:eastAsia="仿宋_GB2312" w:cs="Times New Roman"/>
          <w:b w:val="0"/>
          <w:bCs w:val="0"/>
          <w:color w:val="auto"/>
          <w:sz w:val="32"/>
          <w:szCs w:val="32"/>
          <w:highlight w:val="none"/>
          <w:lang w:val="en-US" w:eastAsia="zh-CN"/>
        </w:rPr>
        <w:t>促进产业结构转型升级、优化产业空间布局、提升产业国际竞争力、推动传统产业和新兴产业稳链增质指明前进方向，是</w:t>
      </w:r>
      <w:r>
        <w:rPr>
          <w:rFonts w:hint="default" w:ascii="Times New Roman" w:hAnsi="Times New Roman" w:cs="Times New Roman"/>
          <w:b w:val="0"/>
          <w:bCs w:val="0"/>
          <w:color w:val="auto"/>
          <w:sz w:val="32"/>
          <w:szCs w:val="32"/>
          <w:highlight w:val="none"/>
          <w:lang w:val="en-US" w:eastAsia="zh-CN"/>
        </w:rPr>
        <w:t>指导2021年到2035年二七</w:t>
      </w:r>
      <w:r>
        <w:rPr>
          <w:rFonts w:hint="default" w:ascii="Times New Roman" w:hAnsi="Times New Roman" w:eastAsia="仿宋_GB2312" w:cs="Times New Roman"/>
          <w:b w:val="0"/>
          <w:bCs w:val="0"/>
          <w:color w:val="auto"/>
          <w:sz w:val="32"/>
          <w:szCs w:val="32"/>
          <w:highlight w:val="none"/>
          <w:lang w:val="en-US" w:eastAsia="zh-CN"/>
        </w:rPr>
        <w:t>区产业发展的行动纲领，是编制和实施</w:t>
      </w:r>
      <w:r>
        <w:rPr>
          <w:rFonts w:hint="default" w:ascii="Times New Roman" w:hAnsi="Times New Roman" w:cs="Times New Roman"/>
          <w:b w:val="0"/>
          <w:bCs w:val="0"/>
          <w:color w:val="auto"/>
          <w:sz w:val="32"/>
          <w:szCs w:val="32"/>
          <w:highlight w:val="none"/>
          <w:lang w:val="en-US" w:eastAsia="zh-CN"/>
        </w:rPr>
        <w:t>各类</w:t>
      </w:r>
      <w:r>
        <w:rPr>
          <w:rFonts w:hint="default" w:ascii="Times New Roman" w:hAnsi="Times New Roman" w:eastAsia="仿宋_GB2312" w:cs="Times New Roman"/>
          <w:b w:val="0"/>
          <w:bCs w:val="0"/>
          <w:color w:val="auto"/>
          <w:sz w:val="32"/>
          <w:szCs w:val="32"/>
          <w:highlight w:val="none"/>
          <w:lang w:val="en-US" w:eastAsia="zh-CN"/>
        </w:rPr>
        <w:t>产业发展政策和计划的基本依据。</w:t>
      </w:r>
    </w:p>
    <w:p>
      <w:pPr>
        <w:keepNext w:val="0"/>
        <w:keepLines w:val="0"/>
        <w:pageBreakBefore w:val="0"/>
        <w:widowControl w:val="0"/>
        <w:wordWrap/>
        <w:bidi w:val="0"/>
        <w:snapToGrid/>
        <w:spacing w:line="560" w:lineRule="exact"/>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br w:type="page"/>
      </w:r>
    </w:p>
    <w:p>
      <w:pPr>
        <w:keepNext w:val="0"/>
        <w:keepLines w:val="0"/>
        <w:pageBreakBefore w:val="0"/>
        <w:widowControl w:val="0"/>
        <w:numPr>
          <w:ilvl w:val="0"/>
          <w:numId w:val="0"/>
        </w:numPr>
        <w:wordWrap/>
        <w:bidi w:val="0"/>
        <w:snapToGrid/>
        <w:spacing w:line="560" w:lineRule="exact"/>
        <w:ind w:right="0" w:rightChars="0"/>
        <w:jc w:val="center"/>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第一章  产业发展基础和环境</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1"/>
        <w:rPr>
          <w:rFonts w:hint="eastAsia" w:ascii="黑体" w:hAnsi="黑体" w:eastAsia="黑体" w:cs="黑体"/>
          <w:b w:val="0"/>
          <w:bCs w:val="0"/>
          <w:color w:val="auto"/>
          <w:sz w:val="32"/>
          <w:szCs w:val="32"/>
          <w:highlight w:val="none"/>
        </w:rPr>
      </w:pPr>
      <w:bookmarkStart w:id="0" w:name="bookmark3"/>
      <w:bookmarkEnd w:id="0"/>
      <w:r>
        <w:rPr>
          <w:rFonts w:hint="eastAsia" w:ascii="黑体" w:hAnsi="黑体" w:eastAsia="黑体" w:cs="黑体"/>
          <w:b w:val="0"/>
          <w:bCs w:val="0"/>
          <w:color w:val="auto"/>
          <w:sz w:val="32"/>
          <w:szCs w:val="32"/>
          <w:highlight w:val="none"/>
        </w:rPr>
        <w:t>一、产</w:t>
      </w:r>
      <w:r>
        <w:rPr>
          <w:rFonts w:hint="eastAsia" w:ascii="黑体" w:hAnsi="黑体" w:eastAsia="黑体" w:cs="黑体"/>
          <w:b w:val="0"/>
          <w:bCs w:val="0"/>
          <w:color w:val="auto"/>
          <w:spacing w:val="2"/>
          <w:sz w:val="32"/>
          <w:szCs w:val="32"/>
          <w:highlight w:val="none"/>
        </w:rPr>
        <w:t>业</w:t>
      </w:r>
      <w:r>
        <w:rPr>
          <w:rFonts w:hint="eastAsia" w:ascii="黑体" w:hAnsi="黑体" w:eastAsia="黑体" w:cs="黑体"/>
          <w:b w:val="0"/>
          <w:bCs w:val="0"/>
          <w:color w:val="auto"/>
          <w:sz w:val="32"/>
          <w:szCs w:val="32"/>
          <w:highlight w:val="none"/>
        </w:rPr>
        <w:t>发展</w:t>
      </w:r>
      <w:r>
        <w:rPr>
          <w:rFonts w:hint="eastAsia" w:ascii="黑体" w:hAnsi="黑体" w:eastAsia="黑体" w:cs="黑体"/>
          <w:b w:val="0"/>
          <w:bCs w:val="0"/>
          <w:color w:val="auto"/>
          <w:spacing w:val="2"/>
          <w:sz w:val="32"/>
          <w:szCs w:val="32"/>
          <w:highlight w:val="none"/>
        </w:rPr>
        <w:t>现</w:t>
      </w:r>
      <w:r>
        <w:rPr>
          <w:rFonts w:hint="eastAsia" w:ascii="黑体" w:hAnsi="黑体" w:eastAsia="黑体" w:cs="黑体"/>
          <w:b w:val="0"/>
          <w:bCs w:val="0"/>
          <w:color w:val="auto"/>
          <w:sz w:val="32"/>
          <w:szCs w:val="32"/>
          <w:highlight w:val="none"/>
        </w:rPr>
        <w:t>状</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1、人口和用地需求。根据人口普查统计数据和国土空间规划</w:t>
      </w:r>
      <w:r>
        <w:rPr>
          <w:rFonts w:hint="default" w:ascii="Times New Roman" w:hAnsi="Times New Roman" w:eastAsia="仿宋_GB2312" w:cs="Times New Roman"/>
          <w:b w:val="0"/>
          <w:bCs w:val="0"/>
          <w:color w:val="auto"/>
          <w:sz w:val="32"/>
          <w:szCs w:val="32"/>
          <w:highlight w:val="none"/>
          <w:lang w:val="en-US" w:eastAsia="zh-CN"/>
        </w:rPr>
        <w:t>，2021年</w:t>
      </w:r>
      <w:r>
        <w:rPr>
          <w:rFonts w:hint="eastAsia" w:ascii="Times New Roman" w:hAnsi="Times New Roman" w:cs="Times New Roman"/>
          <w:b w:val="0"/>
          <w:bCs w:val="0"/>
          <w:color w:val="auto"/>
          <w:sz w:val="32"/>
          <w:szCs w:val="32"/>
          <w:highlight w:val="none"/>
          <w:lang w:val="en-US" w:eastAsia="zh-CN"/>
        </w:rPr>
        <w:t>底</w:t>
      </w:r>
      <w:r>
        <w:rPr>
          <w:rFonts w:hint="default" w:ascii="Times New Roman" w:hAnsi="Times New Roman" w:eastAsia="仿宋_GB2312" w:cs="Times New Roman"/>
          <w:b w:val="0"/>
          <w:bCs w:val="0"/>
          <w:color w:val="auto"/>
          <w:sz w:val="32"/>
          <w:szCs w:val="32"/>
          <w:highlight w:val="none"/>
          <w:lang w:val="en-US" w:eastAsia="zh-CN"/>
        </w:rPr>
        <w:t>全区常住人口106.32万人，</w:t>
      </w:r>
      <w:r>
        <w:rPr>
          <w:rFonts w:hint="eastAsia" w:ascii="Times New Roman" w:hAnsi="Times New Roman" w:cs="Times New Roman"/>
          <w:b w:val="0"/>
          <w:bCs w:val="0"/>
          <w:color w:val="auto"/>
          <w:sz w:val="32"/>
          <w:szCs w:val="32"/>
          <w:highlight w:val="none"/>
          <w:lang w:val="en-US" w:eastAsia="zh-CN"/>
        </w:rPr>
        <w:t>10年间净增29万人。随着城镇化发展进入后期，以及人口政策和就业政策调整，人口增长速度趋于放缓，人口净流入规模逐渐减少。根据测算分析，预计到</w:t>
      </w:r>
      <w:r>
        <w:rPr>
          <w:rFonts w:hint="default" w:ascii="Times New Roman" w:hAnsi="Times New Roman" w:eastAsia="仿宋_GB2312" w:cs="Times New Roman"/>
          <w:b w:val="0"/>
          <w:bCs w:val="0"/>
          <w:color w:val="auto"/>
          <w:sz w:val="32"/>
          <w:szCs w:val="32"/>
          <w:highlight w:val="none"/>
          <w:lang w:val="en-US" w:eastAsia="zh-CN"/>
        </w:rPr>
        <w:t>2030年全区常住人口约125万人，到2035年约13</w:t>
      </w:r>
      <w:r>
        <w:rPr>
          <w:rFonts w:hint="eastAsia" w:ascii="Times New Roman" w:hAnsi="Times New Roman"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lang w:val="en-US" w:eastAsia="zh-CN"/>
        </w:rPr>
        <w:t>万人</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居住用地需求相对减少</w:t>
      </w:r>
      <w:r>
        <w:rPr>
          <w:rFonts w:hint="eastAsia" w:ascii="Times New Roman" w:hAnsi="Times New Roman" w:cs="Times New Roman"/>
          <w:b w:val="0"/>
          <w:bCs w:val="0"/>
          <w:color w:val="auto"/>
          <w:sz w:val="32"/>
          <w:szCs w:val="32"/>
          <w:highlight w:val="none"/>
          <w:lang w:val="en-US" w:eastAsia="zh-CN"/>
        </w:rPr>
        <w:t>，为产业发展腾出更多空间。</w:t>
      </w:r>
      <w:r>
        <w:rPr>
          <w:rFonts w:hint="default" w:ascii="Times New Roman" w:hAnsi="Times New Roman" w:eastAsia="仿宋_GB2312" w:cs="Times New Roman"/>
          <w:b w:val="0"/>
          <w:bCs w:val="0"/>
          <w:color w:val="auto"/>
          <w:sz w:val="32"/>
          <w:szCs w:val="32"/>
          <w:highlight w:val="none"/>
          <w:lang w:val="en-US" w:eastAsia="zh-CN"/>
        </w:rPr>
        <w:t>同时全区15-59岁人口73</w:t>
      </w:r>
      <w:r>
        <w:rPr>
          <w:rFonts w:hint="eastAsia" w:ascii="Times New Roman" w:hAnsi="Times New Roman" w:cs="Times New Roman"/>
          <w:b w:val="0"/>
          <w:bCs w:val="0"/>
          <w:color w:val="auto"/>
          <w:sz w:val="32"/>
          <w:szCs w:val="32"/>
          <w:highlight w:val="none"/>
          <w:lang w:val="en-US" w:eastAsia="zh-CN"/>
        </w:rPr>
        <w:t>.6万</w:t>
      </w:r>
      <w:r>
        <w:rPr>
          <w:rFonts w:hint="default" w:ascii="Times New Roman" w:hAnsi="Times New Roman" w:eastAsia="仿宋_GB2312" w:cs="Times New Roman"/>
          <w:b w:val="0"/>
          <w:bCs w:val="0"/>
          <w:color w:val="auto"/>
          <w:sz w:val="32"/>
          <w:szCs w:val="32"/>
          <w:highlight w:val="none"/>
          <w:lang w:val="en-US" w:eastAsia="zh-CN"/>
        </w:rPr>
        <w:t>人，占</w:t>
      </w:r>
      <w:r>
        <w:rPr>
          <w:rFonts w:hint="eastAsia" w:ascii="Times New Roman" w:hAnsi="Times New Roman" w:cs="Times New Roman"/>
          <w:b w:val="0"/>
          <w:bCs w:val="0"/>
          <w:color w:val="auto"/>
          <w:sz w:val="32"/>
          <w:szCs w:val="32"/>
          <w:highlight w:val="none"/>
          <w:lang w:val="en-US" w:eastAsia="zh-CN"/>
        </w:rPr>
        <w:t>常住人口</w:t>
      </w:r>
      <w:r>
        <w:rPr>
          <w:rFonts w:hint="default" w:ascii="Times New Roman" w:hAnsi="Times New Roman" w:eastAsia="仿宋_GB2312" w:cs="Times New Roman"/>
          <w:b w:val="0"/>
          <w:bCs w:val="0"/>
          <w:color w:val="auto"/>
          <w:sz w:val="32"/>
          <w:szCs w:val="32"/>
          <w:highlight w:val="none"/>
          <w:lang w:val="en-US" w:eastAsia="zh-CN"/>
        </w:rPr>
        <w:t>69.34%，预计未来10-15年青壮年从业人员比例仍保持在65%以上，就业需求</w:t>
      </w:r>
      <w:r>
        <w:rPr>
          <w:rFonts w:hint="eastAsia" w:ascii="Times New Roman" w:hAnsi="Times New Roman" w:cs="Times New Roman"/>
          <w:b w:val="0"/>
          <w:bCs w:val="0"/>
          <w:color w:val="auto"/>
          <w:sz w:val="32"/>
          <w:szCs w:val="32"/>
          <w:highlight w:val="none"/>
          <w:lang w:val="en-US" w:eastAsia="zh-CN"/>
        </w:rPr>
        <w:t>巨大，急需发展高质量的产业满足就业需求</w:t>
      </w:r>
      <w:r>
        <w:rPr>
          <w:rFonts w:hint="eastAsia" w:ascii="Times New Roman" w:hAnsi="Times New Roman" w:cs="Times New Roman"/>
          <w:b w:val="0"/>
          <w:bCs w:val="0"/>
          <w:color w:val="auto"/>
          <w:sz w:val="32"/>
          <w:szCs w:val="32"/>
          <w:highlight w:val="none"/>
          <w:lang w:val="en-US" w:eastAsia="zh-CN"/>
        </w:rPr>
        <w:t>，</w:t>
      </w:r>
      <w:r>
        <w:rPr>
          <w:rFonts w:hint="eastAsia" w:ascii="Times New Roman" w:hAnsi="Times New Roman" w:cs="Times New Roman"/>
          <w:b w:val="0"/>
          <w:bCs w:val="0"/>
          <w:color w:val="auto"/>
          <w:sz w:val="32"/>
          <w:szCs w:val="32"/>
          <w:highlight w:val="none"/>
          <w:lang w:val="en-US" w:eastAsia="zh-CN"/>
        </w:rPr>
        <w:t>吸纳就业人口。</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2、经济发展状况。</w:t>
      </w:r>
      <w:r>
        <w:rPr>
          <w:rFonts w:hint="default" w:ascii="Times New Roman" w:hAnsi="Times New Roman" w:eastAsia="仿宋_GB2312" w:cs="Times New Roman"/>
          <w:b w:val="0"/>
          <w:bCs w:val="0"/>
          <w:color w:val="auto"/>
          <w:sz w:val="32"/>
          <w:szCs w:val="32"/>
          <w:highlight w:val="none"/>
          <w:lang w:val="en-US" w:eastAsia="zh-CN"/>
        </w:rPr>
        <w:t>2021年，全年地区生产总值完成784.2亿元。其中，第一产业增加值0.5亿元；第二产业增加值173.0亿元；其中全部工业增加值67.8亿元；建筑业增加值105.3亿元；第三产业增加值610.7亿元，交通运输、仓储和邮政业增加值70.9亿元；批发和零售业增加值73.1亿元；住宿和餐饮业增加值18.3亿元；金融业增加值103.9亿元；房地产业增加值80亿元；营利性服务业增加值168.9亿元；非营利性服务业增加值95.5亿元。三次产业结构0.1:22.1:77.8，发展结构持续优化。</w:t>
      </w:r>
      <w:bookmarkStart w:id="1" w:name="bookmark4"/>
      <w:bookmarkEnd w:id="1"/>
      <w:r>
        <w:rPr>
          <w:rFonts w:hint="default" w:ascii="Times New Roman" w:hAnsi="Times New Roman" w:eastAsia="仿宋_GB2312" w:cs="Times New Roman"/>
          <w:b w:val="0"/>
          <w:bCs w:val="0"/>
          <w:color w:val="auto"/>
          <w:sz w:val="32"/>
          <w:szCs w:val="32"/>
          <w:highlight w:val="none"/>
          <w:lang w:val="en-US" w:eastAsia="zh-CN"/>
        </w:rPr>
        <w:t>全区市场主体168090户，其中企业70506户、个体工商户97584户；“四上”企业800家，其中规模以上工业企业82家、资质等级建筑业企业189家、限额以上批零住餐企业287家、国家重点服务业企业143家以及房地产企业99家；境外上市企业1家（康桥悦生活服务集团有限公司）、中股交挂牌公司233家。</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3、产业发展现状。</w:t>
      </w:r>
      <w:r>
        <w:rPr>
          <w:rFonts w:hint="default" w:ascii="Times New Roman" w:hAnsi="Times New Roman" w:eastAsia="仿宋_GB2312" w:cs="Times New Roman"/>
          <w:b w:val="0"/>
          <w:bCs w:val="0"/>
          <w:color w:val="auto"/>
          <w:sz w:val="32"/>
          <w:szCs w:val="32"/>
          <w:highlight w:val="none"/>
          <w:lang w:val="en-US" w:eastAsia="zh-CN"/>
        </w:rPr>
        <w:t>全区现代商贸业持续优化升级，二七商圈有机更新步伐加快，二七万达、华润万象城等优势消费中心加速集聚，以致欧跨境电商、海一云商为代表的电子商务经济快速成长，商贸业整体呈现出名企集聚、业态升级、功能增强、发展提速的崭新局面。现代制造和科技服务业加快融合，持续探索“小微企业园”发展新模式，以郑投科技创新园、中物数字产业园为代表的智能经济不断壮大，马寨产业集聚区晋升为省级经济技术开发区，现代制造业科技研发、补链强链能力明显提高。文旅康养业焕发强劲活力，以澍青康养中心、爱馨养老等为代表的康养经济加快发展，以建业足球小镇、二七华侨城为代表的文旅经济持续升温，以百年德化历史文化片区、瑞光创意产业园为代表的文创经济亮点纷呈，钓鱼沟景区成功创建国家3A级景区，樱桃沟景区获评国家4A级旅游景区，擦亮了二七产业高质量发展名片。</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制造业方面。目前，全区工业企业340余家，主要依托二七经开区打造了现代食品、高端装备制造、电子信息等主导产业，培育了顶益食品、新大方、花花牛等82家规模以上工业企业。投入运营中物科技园、郑投科技园一期等小微企业园，实现入住企业299家。培育“专精特新”小巨人国家级1家、省级17家、市级21家。</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商贸业方面。二七区拥有厚重的商业文化，素有商都中的商都之称，誉满全国的二七商圈汇聚了大型百货、品牌专卖、家电、综合百货、酒店、办公、餐饮等业态。近年来，打造了二七万达消费次中心、东方大厦新经济中心等新兴商圈，目前全区拥有万象城、二七万达等24家大型商超、283家规上商贸业企业，42家商贸市场（27家专业批发市场）。</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楼宇（总部）经济方面。全区全口径税收超百万楼宇22栋，超千万33栋，超亿元3栋（正弘凯宾城、二七万达广场、百年德化商务楼），楼宇企业达4685家，2021年全口径税收完成16.28亿元，区级留成完成6.64亿元。郑州市总部企业4家（永辉超市、国美电器、致欧家居、正岩建设集团）。</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文旅康养业方面。德化步行街被认定首批省级旅游休闲街区。国家4A级樱桃沟景区、3A级钓鱼沟景区，2021年接待游客94.15万人，二七华侨城、建业足球小镇首期项目已对外开放，成为城市近郊游热门景区。打造瑞光文创园、樱桃沟美术园区、908文创园等8个省、市级文化产业基地，其中瑞光创意工厂文创园已实现入住100余家企业。目前正在建设的二七健康产业核心板块，已引进落地仲景医药健康产业园、东方医院康养综合体等康养项目。</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数字经济方面。全区软件和信息技术服务业规上企业11家，2021年营业收入累计完成23.75亿元，同比增长2.81%，占全区GDP比重为3.1%。2021年全区跨境电商交易额达完成4.6亿美元、电子商务交易额完成135亿元。</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科技创新方面。全区科技型企业525家、高新技术企业151家，市级以上重点科技研发平台15家。科技孵化器、众创空间各类创新创业载体24个，在孵企业近500家，其中航海科创基地累计孵化企业80余家，区内转化54个。全社会研发投入强度达到2.66%以上，万人发明专利拥有量突破16件，成功进入河南省知识产权强县工程试点县区，入选全国科技创新百强区。</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1"/>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二、</w:t>
      </w:r>
      <w:r>
        <w:rPr>
          <w:rFonts w:hint="eastAsia" w:ascii="黑体" w:hAnsi="黑体" w:eastAsia="黑体" w:cs="黑体"/>
          <w:b w:val="0"/>
          <w:bCs w:val="0"/>
          <w:color w:val="auto"/>
          <w:sz w:val="32"/>
          <w:szCs w:val="32"/>
          <w:highlight w:val="none"/>
        </w:rPr>
        <w:t>产业发展优势</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cs="Times New Roman"/>
          <w:b w:val="0"/>
          <w:bCs w:val="0"/>
          <w:color w:val="auto"/>
          <w:sz w:val="32"/>
          <w:szCs w:val="32"/>
          <w:highlight w:val="none"/>
          <w:lang w:val="en-US" w:eastAsia="zh-CN"/>
        </w:rPr>
      </w:pPr>
      <w:bookmarkStart w:id="2" w:name="bookmark5"/>
      <w:bookmarkEnd w:id="2"/>
      <w:r>
        <w:rPr>
          <w:rFonts w:hint="eastAsia" w:ascii="Times New Roman" w:hAnsi="Times New Roman"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lang w:val="en-US" w:eastAsia="zh-CN"/>
        </w:rPr>
        <w:t>政策叠加优势。重大国家战略为河南带来了前所未有的宝贵机遇和战略支撑，特别是习近平总书记亲自谋划、亲自部署、亲自推动的黄河流域生态环境保护和高质量发展重大国家战略，与推动中部地区崛起国家战略在我省叠加，战略优势凸显。</w:t>
      </w:r>
      <w:r>
        <w:rPr>
          <w:rFonts w:hint="eastAsia" w:ascii="Times New Roman" w:hAnsi="Times New Roman" w:cs="Times New Roman"/>
          <w:b w:val="0"/>
          <w:bCs w:val="0"/>
          <w:color w:val="auto"/>
          <w:sz w:val="32"/>
          <w:szCs w:val="32"/>
          <w:highlight w:val="none"/>
          <w:lang w:val="en-US" w:eastAsia="zh-CN"/>
        </w:rPr>
        <w:t>同时，</w:t>
      </w:r>
      <w:r>
        <w:rPr>
          <w:rFonts w:hint="default" w:ascii="Times New Roman" w:hAnsi="Times New Roman" w:eastAsia="仿宋_GB2312" w:cs="Times New Roman"/>
          <w:b w:val="0"/>
          <w:bCs w:val="0"/>
          <w:color w:val="auto"/>
          <w:sz w:val="32"/>
          <w:szCs w:val="32"/>
          <w:highlight w:val="none"/>
          <w:lang w:val="en-US" w:eastAsia="zh-CN"/>
        </w:rPr>
        <w:t>新时代郑州高质量发展正面临着黄河流域生态环境保护和高质量发展的政策机遇、新发展格局的融入机遇、产业升级的趋势机遇，承东启西贯通南北区位优势、国家重要综合枢纽优势、文化资源优势、生态资源优势、人文人才和科教优势叠加联动</w:t>
      </w:r>
      <w:r>
        <w:rPr>
          <w:rFonts w:hint="default" w:ascii="Times New Roman" w:hAnsi="Times New Roman" w:cs="Times New Roman"/>
          <w:b w:val="0"/>
          <w:bCs w:val="0"/>
          <w:color w:val="auto"/>
          <w:sz w:val="32"/>
          <w:szCs w:val="32"/>
          <w:highlight w:val="none"/>
          <w:lang w:val="en-US" w:eastAsia="zh-CN"/>
        </w:rPr>
        <w:t>，使郑州在全国经济版图和城市网络中的地位更加凸显，日益展现出蓄势崛起的新态势，二七也必将担当更大作为。</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2、发展空间优势。根据国土空间规划</w:t>
      </w:r>
      <w:r>
        <w:rPr>
          <w:rFonts w:hint="default" w:ascii="Times New Roman" w:hAnsi="Times New Roman" w:cs="Times New Roman"/>
          <w:b w:val="0"/>
          <w:bCs w:val="0"/>
          <w:color w:val="auto"/>
          <w:sz w:val="32"/>
          <w:szCs w:val="32"/>
          <w:highlight w:val="none"/>
          <w:lang w:val="en-US" w:eastAsia="zh-CN"/>
        </w:rPr>
        <w:t>，</w:t>
      </w:r>
      <w:r>
        <w:rPr>
          <w:rFonts w:hint="eastAsia" w:ascii="Times New Roman" w:hAnsi="Times New Roman" w:cs="Times New Roman"/>
          <w:b w:val="0"/>
          <w:bCs w:val="0"/>
          <w:color w:val="auto"/>
          <w:sz w:val="32"/>
          <w:szCs w:val="32"/>
          <w:highlight w:val="none"/>
          <w:lang w:val="en-US" w:eastAsia="zh-CN"/>
        </w:rPr>
        <w:t>全区还有8000多亩可用产业用地，为高成长服务业和低碳科技型工业发展提供了广阔空间。区位交通和资源优势独特，</w:t>
      </w:r>
      <w:r>
        <w:rPr>
          <w:rFonts w:hint="default" w:ascii="Times New Roman" w:hAnsi="Times New Roman" w:cs="Times New Roman"/>
          <w:b w:val="0"/>
          <w:bCs w:val="0"/>
          <w:color w:val="auto"/>
          <w:sz w:val="32"/>
          <w:szCs w:val="32"/>
          <w:highlight w:val="none"/>
          <w:lang w:val="en-US" w:eastAsia="zh-CN"/>
        </w:rPr>
        <w:t>有</w:t>
      </w:r>
      <w:r>
        <w:rPr>
          <w:rFonts w:hint="eastAsia" w:ascii="Times New Roman" w:hAnsi="Times New Roman" w:cs="Times New Roman"/>
          <w:b w:val="0"/>
          <w:bCs w:val="0"/>
          <w:color w:val="auto"/>
          <w:sz w:val="32"/>
          <w:szCs w:val="32"/>
          <w:highlight w:val="none"/>
          <w:lang w:val="en-US" w:eastAsia="zh-CN"/>
        </w:rPr>
        <w:t>临近市中心、产城融合、生态宜居</w:t>
      </w:r>
      <w:r>
        <w:rPr>
          <w:rFonts w:hint="default" w:ascii="Times New Roman" w:hAnsi="Times New Roman" w:cs="Times New Roman"/>
          <w:b w:val="0"/>
          <w:bCs w:val="0"/>
          <w:color w:val="auto"/>
          <w:sz w:val="32"/>
          <w:szCs w:val="32"/>
          <w:highlight w:val="none"/>
          <w:lang w:val="en-US" w:eastAsia="zh-CN"/>
        </w:rPr>
        <w:t>的经济技术开发区，整体产业体系相对完善，未来产业的优化提升基础完备；与</w:t>
      </w:r>
      <w:r>
        <w:rPr>
          <w:rFonts w:hint="eastAsia" w:ascii="Times New Roman" w:hAnsi="Times New Roman" w:cs="Times New Roman"/>
          <w:b w:val="0"/>
          <w:bCs w:val="0"/>
          <w:color w:val="auto"/>
          <w:sz w:val="32"/>
          <w:szCs w:val="32"/>
          <w:highlight w:val="none"/>
          <w:lang w:val="en-US" w:eastAsia="zh-CN"/>
        </w:rPr>
        <w:t>周边经济技术开发区、高新技术开发区</w:t>
      </w:r>
      <w:r>
        <w:rPr>
          <w:rFonts w:hint="default" w:ascii="Times New Roman" w:hAnsi="Times New Roman" w:cs="Times New Roman"/>
          <w:b w:val="0"/>
          <w:bCs w:val="0"/>
          <w:color w:val="auto"/>
          <w:sz w:val="32"/>
          <w:szCs w:val="32"/>
          <w:highlight w:val="none"/>
          <w:lang w:val="en-US" w:eastAsia="zh-CN"/>
        </w:rPr>
        <w:t>毗邻，有产业融合发展的优势，可以承接和配套发展高新区产业链补链企业；地铁交汇节点区域多，地铁</w:t>
      </w:r>
      <w:r>
        <w:rPr>
          <w:rFonts w:hint="eastAsia" w:ascii="Times New Roman" w:hAnsi="Times New Roman" w:cs="Times New Roman"/>
          <w:b w:val="0"/>
          <w:bCs w:val="0"/>
          <w:color w:val="auto"/>
          <w:sz w:val="32"/>
          <w:szCs w:val="32"/>
          <w:highlight w:val="none"/>
          <w:lang w:val="en-US" w:eastAsia="zh-CN"/>
        </w:rPr>
        <w:t>经济</w:t>
      </w:r>
      <w:r>
        <w:rPr>
          <w:rFonts w:hint="default" w:ascii="Times New Roman" w:hAnsi="Times New Roman" w:cs="Times New Roman"/>
          <w:b w:val="0"/>
          <w:bCs w:val="0"/>
          <w:color w:val="auto"/>
          <w:sz w:val="32"/>
          <w:szCs w:val="32"/>
          <w:highlight w:val="none"/>
          <w:lang w:val="en-US" w:eastAsia="zh-CN"/>
        </w:rPr>
        <w:t>发展资</w:t>
      </w:r>
      <w:r>
        <w:rPr>
          <w:rFonts w:hint="default" w:ascii="Times New Roman" w:hAnsi="Times New Roman" w:eastAsia="仿宋_GB2312" w:cs="Times New Roman"/>
          <w:b w:val="0"/>
          <w:bCs w:val="0"/>
          <w:color w:val="auto"/>
          <w:sz w:val="32"/>
          <w:szCs w:val="32"/>
          <w:highlight w:val="none"/>
          <w:lang w:val="en-US" w:eastAsia="zh-CN"/>
        </w:rPr>
        <w:t>源丰富。</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科技资源优势。二七区拥有中原城市群最大的电力、电信、邮政枢纽系统；拥有郑州大学、防空兵学院、郑州航院、黄河科技大学等大中专院校，为产业发展提供了人口和资源红利；通过以高校、科研院所等创新主体为主，大力推进产学研一体化发展。“十三五”期间全区专利授权量达4801件。</w:t>
      </w:r>
      <w:r>
        <w:rPr>
          <w:rFonts w:hint="default" w:ascii="Times New Roman" w:hAnsi="Times New Roman" w:eastAsia="仿宋_GB2312" w:cs="Times New Roman"/>
          <w:b w:val="0"/>
          <w:bCs w:val="0"/>
          <w:color w:val="auto"/>
          <w:sz w:val="32"/>
          <w:szCs w:val="32"/>
          <w:highlight w:val="none"/>
          <w:lang w:val="en-US" w:eastAsia="zh-CN"/>
        </w:rPr>
        <w:t>目前已经建设了国家、省、市企业研发中心43家，规模工业研发</w:t>
      </w:r>
      <w:r>
        <w:rPr>
          <w:rFonts w:hint="eastAsia" w:ascii="Times New Roman" w:hAnsi="Times New Roman" w:cs="Times New Roman"/>
          <w:b w:val="0"/>
          <w:bCs w:val="0"/>
          <w:color w:val="auto"/>
          <w:sz w:val="32"/>
          <w:szCs w:val="32"/>
          <w:highlight w:val="none"/>
          <w:lang w:val="en-US" w:eastAsia="zh-CN"/>
        </w:rPr>
        <w:t>活动</w:t>
      </w:r>
      <w:r>
        <w:rPr>
          <w:rFonts w:hint="default" w:ascii="Times New Roman" w:hAnsi="Times New Roman" w:eastAsia="仿宋_GB2312" w:cs="Times New Roman"/>
          <w:b w:val="0"/>
          <w:bCs w:val="0"/>
          <w:color w:val="auto"/>
          <w:sz w:val="32"/>
          <w:szCs w:val="32"/>
          <w:highlight w:val="none"/>
          <w:lang w:val="en-US" w:eastAsia="zh-CN"/>
        </w:rPr>
        <w:t>覆盖率达4</w:t>
      </w:r>
      <w:r>
        <w:rPr>
          <w:rFonts w:hint="eastAsia" w:ascii="Times New Roman" w:hAnsi="Times New Roman"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lang w:val="en-US" w:eastAsia="zh-CN"/>
        </w:rPr>
        <w:t>%。辖</w:t>
      </w:r>
      <w:r>
        <w:rPr>
          <w:rFonts w:hint="default" w:ascii="Times New Roman" w:hAnsi="Times New Roman" w:eastAsia="仿宋_GB2312" w:cs="Times New Roman"/>
          <w:b w:val="0"/>
          <w:bCs w:val="0"/>
          <w:color w:val="auto"/>
          <w:sz w:val="32"/>
          <w:szCs w:val="32"/>
          <w:highlight w:val="none"/>
          <w:lang w:val="en-US" w:eastAsia="zh-CN"/>
        </w:rPr>
        <w:t>区内还拥有郑大一附院、省妇幼保健院等多个大中型医院，各类医疗服务机构631家，为本地提供良好公共服务的同时，也吸引了大量健康医疗服务相关产业链从业人员。</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1"/>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三、产业发展短板</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lang w:val="en-US" w:eastAsia="zh-CN"/>
        </w:rPr>
        <w:t>产业发展结构有待优化。</w:t>
      </w:r>
      <w:r>
        <w:rPr>
          <w:rFonts w:hint="eastAsia" w:ascii="Times New Roman" w:hAnsi="Times New Roman" w:cs="Times New Roman"/>
          <w:b w:val="0"/>
          <w:bCs w:val="0"/>
          <w:color w:val="auto"/>
          <w:sz w:val="32"/>
          <w:szCs w:val="32"/>
          <w:highlight w:val="none"/>
          <w:lang w:val="en-US" w:eastAsia="zh-CN"/>
        </w:rPr>
        <w:t>现代服务业、</w:t>
      </w:r>
      <w:r>
        <w:rPr>
          <w:rFonts w:hint="default" w:ascii="Times New Roman" w:hAnsi="Times New Roman" w:eastAsia="仿宋_GB2312" w:cs="Times New Roman"/>
          <w:b w:val="0"/>
          <w:bCs w:val="0"/>
          <w:color w:val="auto"/>
          <w:sz w:val="32"/>
          <w:szCs w:val="32"/>
          <w:highlight w:val="none"/>
          <w:lang w:val="en-US" w:eastAsia="zh-CN"/>
        </w:rPr>
        <w:t>先进制造业总量偏低，2021年全区三次产业结构为0.1:22.1:77.8，</w:t>
      </w:r>
      <w:r>
        <w:rPr>
          <w:rFonts w:hint="eastAsia" w:ascii="Times New Roman" w:hAnsi="Times New Roman" w:cs="Times New Roman"/>
          <w:b w:val="0"/>
          <w:bCs w:val="0"/>
          <w:color w:val="auto"/>
          <w:sz w:val="32"/>
          <w:szCs w:val="32"/>
          <w:highlight w:val="none"/>
          <w:lang w:val="en-US" w:eastAsia="zh-CN"/>
        </w:rPr>
        <w:t>以现代服务业为支撑的</w:t>
      </w:r>
      <w:r>
        <w:rPr>
          <w:rFonts w:hint="default" w:ascii="Times New Roman" w:hAnsi="Times New Roman" w:eastAsia="仿宋_GB2312" w:cs="Times New Roman"/>
          <w:b w:val="0"/>
          <w:bCs w:val="0"/>
          <w:color w:val="auto"/>
          <w:sz w:val="32"/>
          <w:szCs w:val="32"/>
          <w:highlight w:val="none"/>
          <w:lang w:val="en-US" w:eastAsia="zh-CN"/>
        </w:rPr>
        <w:t>第三产业对经济贡献占绝对主导，</w:t>
      </w:r>
      <w:r>
        <w:rPr>
          <w:rFonts w:hint="eastAsia" w:ascii="Times New Roman" w:hAnsi="Times New Roman" w:cs="Times New Roman"/>
          <w:b w:val="0"/>
          <w:bCs w:val="0"/>
          <w:color w:val="auto"/>
          <w:sz w:val="32"/>
          <w:szCs w:val="32"/>
          <w:highlight w:val="none"/>
          <w:lang w:val="en-US" w:eastAsia="zh-CN"/>
        </w:rPr>
        <w:t>但房地产业和建筑业、批发零售等传统商贸业占比大，</w:t>
      </w:r>
      <w:r>
        <w:rPr>
          <w:rFonts w:hint="default" w:ascii="Times New Roman" w:hAnsi="Times New Roman" w:eastAsia="仿宋_GB2312" w:cs="Times New Roman"/>
          <w:b w:val="0"/>
          <w:bCs w:val="0"/>
          <w:color w:val="auto"/>
          <w:sz w:val="32"/>
          <w:szCs w:val="32"/>
          <w:highlight w:val="none"/>
          <w:lang w:val="en-US" w:eastAsia="zh-CN"/>
        </w:rPr>
        <w:t>食品制造</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装备制造等传统优势产业增速趋缓</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发展后劲不足，集聚度不高</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人工智能、生物医药、电子信息、新材料等新兴产业规模偏小，总部企业数量与先进</w:t>
      </w:r>
      <w:r>
        <w:rPr>
          <w:rFonts w:hint="eastAsia" w:ascii="Times New Roman" w:hAnsi="Times New Roman" w:cs="Times New Roman"/>
          <w:b w:val="0"/>
          <w:bCs w:val="0"/>
          <w:color w:val="auto"/>
          <w:sz w:val="32"/>
          <w:szCs w:val="32"/>
          <w:highlight w:val="none"/>
          <w:lang w:val="en-US" w:eastAsia="zh-CN"/>
        </w:rPr>
        <w:t>地区</w:t>
      </w:r>
      <w:r>
        <w:rPr>
          <w:rFonts w:hint="default" w:ascii="Times New Roman" w:hAnsi="Times New Roman" w:eastAsia="仿宋_GB2312" w:cs="Times New Roman"/>
          <w:b w:val="0"/>
          <w:bCs w:val="0"/>
          <w:color w:val="auto"/>
          <w:sz w:val="32"/>
          <w:szCs w:val="32"/>
          <w:highlight w:val="none"/>
          <w:lang w:val="en-US" w:eastAsia="zh-CN"/>
        </w:rPr>
        <w:t>相比差距</w:t>
      </w:r>
      <w:r>
        <w:rPr>
          <w:rFonts w:hint="eastAsia" w:ascii="Times New Roman" w:hAnsi="Times New Roman" w:cs="Times New Roman"/>
          <w:b w:val="0"/>
          <w:bCs w:val="0"/>
          <w:color w:val="auto"/>
          <w:sz w:val="32"/>
          <w:szCs w:val="32"/>
          <w:highlight w:val="none"/>
          <w:lang w:val="en-US" w:eastAsia="zh-CN"/>
        </w:rPr>
        <w:t>较大</w:t>
      </w:r>
      <w:r>
        <w:rPr>
          <w:rFonts w:hint="default" w:ascii="Times New Roman" w:hAnsi="Times New Roman" w:eastAsia="仿宋_GB2312" w:cs="Times New Roman"/>
          <w:b w:val="0"/>
          <w:bCs w:val="0"/>
          <w:color w:val="auto"/>
          <w:sz w:val="32"/>
          <w:szCs w:val="32"/>
          <w:highlight w:val="none"/>
          <w:lang w:val="en-US" w:eastAsia="zh-CN"/>
        </w:rPr>
        <w:t>。</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val="en-US" w:eastAsia="zh-CN"/>
        </w:rPr>
        <w:t>产业发展质量有待提升。经济增长对房地产业依赖较大，发展后劲不足。制造业处于产业链、价值链中低端，高品质、个性化、高复杂性、高附加值的产品供给能力不足；服务业整体层次和发展水平偏低，高品质生活性服务业、技术密集型生产性服务占比不高</w:t>
      </w:r>
      <w:r>
        <w:rPr>
          <w:rFonts w:hint="eastAsia" w:ascii="Times New Roman" w:hAnsi="Times New Roman" w:eastAsia="仿宋_GB2312" w:cs="Times New Roman"/>
          <w:b w:val="0"/>
          <w:bCs w:val="0"/>
          <w:color w:val="auto"/>
          <w:sz w:val="32"/>
          <w:szCs w:val="32"/>
          <w:highlight w:val="none"/>
          <w:lang w:val="en-US" w:eastAsia="zh-CN"/>
        </w:rPr>
        <w:t>，技术密集型产业、高技术产业比重较低，产品技术含量和附加值不高，市场竞争力不强。</w:t>
      </w:r>
      <w:r>
        <w:rPr>
          <w:rFonts w:hint="default" w:ascii="Times New Roman" w:hAnsi="Times New Roman" w:eastAsia="仿宋_GB2312" w:cs="Times New Roman"/>
          <w:b w:val="0"/>
          <w:bCs w:val="0"/>
          <w:color w:val="auto"/>
          <w:sz w:val="32"/>
          <w:szCs w:val="32"/>
          <w:highlight w:val="none"/>
          <w:lang w:val="en-US" w:eastAsia="zh-CN"/>
        </w:rPr>
        <w:t>2021年</w:t>
      </w:r>
      <w:r>
        <w:rPr>
          <w:rFonts w:hint="eastAsia" w:ascii="Times New Roman" w:hAnsi="Times New Roman" w:cs="Times New Roman"/>
          <w:b w:val="0"/>
          <w:bCs w:val="0"/>
          <w:color w:val="auto"/>
          <w:sz w:val="32"/>
          <w:szCs w:val="32"/>
          <w:highlight w:val="none"/>
          <w:lang w:val="en-US" w:eastAsia="zh-CN"/>
        </w:rPr>
        <w:t>全区</w:t>
      </w:r>
      <w:r>
        <w:rPr>
          <w:rFonts w:hint="default" w:ascii="Times New Roman" w:hAnsi="Times New Roman" w:eastAsia="仿宋_GB2312" w:cs="Times New Roman"/>
          <w:b w:val="0"/>
          <w:bCs w:val="0"/>
          <w:color w:val="auto"/>
          <w:sz w:val="32"/>
          <w:szCs w:val="32"/>
          <w:highlight w:val="none"/>
          <w:lang w:val="en-US" w:eastAsia="zh-CN"/>
        </w:rPr>
        <w:t>纳税户30075户，缴纳区级税收40.2亿元，纳税户数</w:t>
      </w:r>
      <w:r>
        <w:rPr>
          <w:rFonts w:hint="eastAsia" w:ascii="Times New Roman" w:hAnsi="Times New Roman" w:cs="Times New Roman"/>
          <w:b w:val="0"/>
          <w:bCs w:val="0"/>
          <w:color w:val="auto"/>
          <w:sz w:val="32"/>
          <w:szCs w:val="32"/>
          <w:highlight w:val="none"/>
          <w:lang w:val="en-US" w:eastAsia="zh-CN"/>
        </w:rPr>
        <w:t>是</w:t>
      </w:r>
      <w:r>
        <w:rPr>
          <w:rFonts w:hint="default" w:ascii="Times New Roman" w:hAnsi="Times New Roman" w:eastAsia="仿宋_GB2312" w:cs="Times New Roman"/>
          <w:b w:val="0"/>
          <w:bCs w:val="0"/>
          <w:color w:val="auto"/>
          <w:sz w:val="32"/>
          <w:szCs w:val="32"/>
          <w:highlight w:val="none"/>
          <w:lang w:val="en-US" w:eastAsia="zh-CN"/>
        </w:rPr>
        <w:t>金水区</w:t>
      </w:r>
      <w:r>
        <w:rPr>
          <w:rFonts w:hint="eastAsia" w:ascii="Times New Roman" w:hAnsi="Times New Roman"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sz w:val="32"/>
          <w:szCs w:val="32"/>
          <w:highlight w:val="none"/>
          <w:lang w:val="en-US" w:eastAsia="zh-CN"/>
        </w:rPr>
        <w:t>53.7%，纳税</w:t>
      </w:r>
      <w:r>
        <w:rPr>
          <w:rFonts w:hint="eastAsia" w:ascii="Times New Roman" w:hAnsi="Times New Roman" w:cs="Times New Roman"/>
          <w:b w:val="0"/>
          <w:bCs w:val="0"/>
          <w:color w:val="auto"/>
          <w:sz w:val="32"/>
          <w:szCs w:val="32"/>
          <w:highlight w:val="none"/>
          <w:lang w:val="en-US" w:eastAsia="zh-CN"/>
        </w:rPr>
        <w:t>额</w:t>
      </w:r>
      <w:r>
        <w:rPr>
          <w:rFonts w:hint="default" w:ascii="Times New Roman" w:hAnsi="Times New Roman" w:eastAsia="仿宋_GB2312" w:cs="Times New Roman"/>
          <w:b w:val="0"/>
          <w:bCs w:val="0"/>
          <w:color w:val="auto"/>
          <w:sz w:val="32"/>
          <w:szCs w:val="32"/>
          <w:highlight w:val="none"/>
          <w:lang w:val="en-US" w:eastAsia="zh-CN"/>
        </w:rPr>
        <w:t>仅36%左右，</w:t>
      </w:r>
      <w:r>
        <w:rPr>
          <w:rFonts w:hint="eastAsia" w:ascii="Times New Roman" w:hAnsi="Times New Roman" w:cs="Times New Roman"/>
          <w:b w:val="0"/>
          <w:bCs w:val="0"/>
          <w:color w:val="auto"/>
          <w:sz w:val="32"/>
          <w:szCs w:val="32"/>
          <w:highlight w:val="none"/>
          <w:lang w:val="en-US" w:eastAsia="zh-CN"/>
        </w:rPr>
        <w:t>反映出市场主体总量不高和贡献不足</w:t>
      </w:r>
      <w:r>
        <w:rPr>
          <w:rFonts w:hint="default" w:ascii="Times New Roman" w:hAnsi="Times New Roman" w:eastAsia="仿宋_GB2312" w:cs="Times New Roman"/>
          <w:b w:val="0"/>
          <w:bCs w:val="0"/>
          <w:color w:val="auto"/>
          <w:sz w:val="32"/>
          <w:szCs w:val="32"/>
          <w:highlight w:val="none"/>
          <w:lang w:val="en-US" w:eastAsia="zh-CN"/>
        </w:rPr>
        <w:t>。</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资源优势未能</w:t>
      </w:r>
      <w:r>
        <w:rPr>
          <w:rFonts w:hint="eastAsia" w:ascii="Times New Roman" w:hAnsi="Times New Roman" w:cs="Times New Roman"/>
          <w:b w:val="0"/>
          <w:bCs w:val="0"/>
          <w:color w:val="auto"/>
          <w:sz w:val="32"/>
          <w:szCs w:val="32"/>
          <w:highlight w:val="none"/>
          <w:lang w:val="en-US" w:eastAsia="zh-CN"/>
        </w:rPr>
        <w:t>转化为发展优势</w:t>
      </w:r>
      <w:r>
        <w:rPr>
          <w:rFonts w:hint="default" w:ascii="Times New Roman" w:hAnsi="Times New Roman" w:eastAsia="仿宋_GB2312" w:cs="Times New Roman"/>
          <w:b w:val="0"/>
          <w:bCs w:val="0"/>
          <w:color w:val="auto"/>
          <w:sz w:val="32"/>
          <w:szCs w:val="32"/>
          <w:highlight w:val="none"/>
          <w:lang w:val="en-US" w:eastAsia="zh-CN"/>
        </w:rPr>
        <w:t>。二七区西南部林地、水源地、南水北调运河等生态资源非常丰富</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区位交通优势</w:t>
      </w:r>
      <w:r>
        <w:rPr>
          <w:rFonts w:hint="eastAsia" w:ascii="Times New Roman" w:hAnsi="Times New Roman" w:cs="Times New Roman"/>
          <w:b w:val="0"/>
          <w:bCs w:val="0"/>
          <w:color w:val="auto"/>
          <w:sz w:val="32"/>
          <w:szCs w:val="32"/>
          <w:highlight w:val="none"/>
          <w:lang w:val="en-US" w:eastAsia="zh-CN"/>
        </w:rPr>
        <w:t>、医疗资源优势、人才优势</w:t>
      </w:r>
      <w:r>
        <w:rPr>
          <w:rFonts w:hint="default" w:ascii="Times New Roman" w:hAnsi="Times New Roman" w:eastAsia="仿宋_GB2312" w:cs="Times New Roman"/>
          <w:b w:val="0"/>
          <w:bCs w:val="0"/>
          <w:color w:val="auto"/>
          <w:sz w:val="32"/>
          <w:szCs w:val="32"/>
          <w:highlight w:val="none"/>
          <w:lang w:val="en-US" w:eastAsia="zh-CN"/>
        </w:rPr>
        <w:t>明显，</w:t>
      </w:r>
      <w:r>
        <w:rPr>
          <w:rFonts w:hint="eastAsia" w:ascii="Times New Roman" w:hAnsi="Times New Roman" w:cs="Times New Roman"/>
          <w:b w:val="0"/>
          <w:bCs w:val="0"/>
          <w:color w:val="auto"/>
          <w:sz w:val="32"/>
          <w:szCs w:val="32"/>
          <w:highlight w:val="none"/>
          <w:lang w:val="en-US" w:eastAsia="zh-CN"/>
        </w:rPr>
        <w:t>是推动高质量发展的资源。</w:t>
      </w:r>
      <w:r>
        <w:rPr>
          <w:rFonts w:hint="default" w:ascii="Times New Roman" w:hAnsi="Times New Roman" w:eastAsia="仿宋_GB2312" w:cs="Times New Roman"/>
          <w:b w:val="0"/>
          <w:bCs w:val="0"/>
          <w:color w:val="auto"/>
          <w:sz w:val="32"/>
          <w:szCs w:val="32"/>
          <w:highlight w:val="none"/>
          <w:lang w:val="en-US" w:eastAsia="zh-CN"/>
        </w:rPr>
        <w:t>但</w:t>
      </w:r>
      <w:r>
        <w:rPr>
          <w:rFonts w:hint="eastAsia" w:ascii="Times New Roman" w:hAnsi="Times New Roman" w:cs="Times New Roman"/>
          <w:b w:val="0"/>
          <w:bCs w:val="0"/>
          <w:color w:val="auto"/>
          <w:sz w:val="32"/>
          <w:szCs w:val="32"/>
          <w:highlight w:val="none"/>
          <w:lang w:val="en-US" w:eastAsia="zh-CN"/>
        </w:rPr>
        <w:t>现阶段未得到充分利用，也未能转化为发展优势。</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四、产业发展环境</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1、</w:t>
      </w:r>
      <w:r>
        <w:rPr>
          <w:rFonts w:hint="default" w:ascii="Times New Roman" w:hAnsi="Times New Roman" w:cs="Times New Roman"/>
          <w:b w:val="0"/>
          <w:bCs w:val="0"/>
          <w:color w:val="auto"/>
          <w:sz w:val="32"/>
          <w:szCs w:val="32"/>
          <w:highlight w:val="none"/>
          <w:lang w:val="en-US" w:eastAsia="zh-CN"/>
        </w:rPr>
        <w:t>我国经济发展</w:t>
      </w:r>
      <w:r>
        <w:rPr>
          <w:rFonts w:hint="eastAsia" w:ascii="Times New Roman" w:hAnsi="Times New Roman" w:cs="Times New Roman"/>
          <w:b w:val="0"/>
          <w:bCs w:val="0"/>
          <w:color w:val="auto"/>
          <w:sz w:val="32"/>
          <w:szCs w:val="32"/>
          <w:highlight w:val="none"/>
          <w:lang w:val="en-US" w:eastAsia="zh-CN"/>
        </w:rPr>
        <w:t>仍</w:t>
      </w:r>
      <w:r>
        <w:rPr>
          <w:rFonts w:hint="default" w:ascii="Times New Roman" w:hAnsi="Times New Roman" w:cs="Times New Roman"/>
          <w:b w:val="0"/>
          <w:bCs w:val="0"/>
          <w:color w:val="auto"/>
          <w:sz w:val="32"/>
          <w:szCs w:val="32"/>
          <w:highlight w:val="none"/>
          <w:lang w:val="en-US" w:eastAsia="zh-CN"/>
        </w:rPr>
        <w:t>处于重要战略机遇期</w:t>
      </w:r>
      <w:r>
        <w:rPr>
          <w:rFonts w:hint="eastAsia" w:ascii="Times New Roman" w:hAnsi="Times New Roman" w:cs="Times New Roman"/>
          <w:b w:val="0"/>
          <w:bCs w:val="0"/>
          <w:color w:val="auto"/>
          <w:sz w:val="32"/>
          <w:szCs w:val="32"/>
          <w:highlight w:val="none"/>
          <w:lang w:val="en-US" w:eastAsia="zh-CN"/>
        </w:rPr>
        <w:t>。尽管</w:t>
      </w:r>
      <w:r>
        <w:rPr>
          <w:rFonts w:hint="default" w:ascii="Times New Roman" w:hAnsi="Times New Roman" w:cs="Times New Roman"/>
          <w:b w:val="0"/>
          <w:bCs w:val="0"/>
          <w:color w:val="auto"/>
          <w:sz w:val="32"/>
          <w:szCs w:val="32"/>
          <w:highlight w:val="none"/>
          <w:lang w:val="en-US" w:eastAsia="zh-CN"/>
        </w:rPr>
        <w:t>外部环境更趋复杂严峻和不确定，面临“需求收缩、供给冲击、预期转弱”三重压力</w:t>
      </w:r>
      <w:r>
        <w:rPr>
          <w:rFonts w:hint="eastAsia" w:ascii="Times New Roman" w:hAnsi="Times New Roman" w:cs="Times New Roman"/>
          <w:b w:val="0"/>
          <w:bCs w:val="0"/>
          <w:color w:val="auto"/>
          <w:sz w:val="32"/>
          <w:szCs w:val="32"/>
          <w:highlight w:val="none"/>
          <w:lang w:val="en-US" w:eastAsia="zh-CN"/>
        </w:rPr>
        <w:t>，但立足世界经济发展形势和国内经济发展的阶段性特征，国家提出了逐步形成以国内大循环为主体、国内国际双循环相互促进的新发展格局的战略部署，推动高质量发展和中国式现代化，实施扩大内需战略，加快建设现代化经济体系，推动经济实现质的有效提升和量的合理增长，为我们高质量推进产业发展提供了良好机遇。</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val="en-US" w:eastAsia="zh-CN"/>
        </w:rPr>
        <w:t>、新兴科技革命孕育全新发展机遇</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全球新兴产业科技变革，尤其是互联网+的快速发展，带来二七区域经济新的增长点。全球新一轮产业变革正在孕育兴起，科技创新呈现出新的发展态势和特征。创新驱动说到底是关于人才的竞争，提高对高层次人才和技术资源的投入力度，激发全区在重点行业创新创业活力，衍生培育新业态，在“十四五”期间力争获得跨越式发展。</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国家中心城市和中原城市群战略</w:t>
      </w:r>
      <w:r>
        <w:rPr>
          <w:rFonts w:hint="eastAsia" w:ascii="Times New Roman" w:hAnsi="Times New Roman" w:cs="Times New Roman"/>
          <w:b w:val="0"/>
          <w:bCs w:val="0"/>
          <w:color w:val="auto"/>
          <w:sz w:val="32"/>
          <w:szCs w:val="32"/>
          <w:highlight w:val="none"/>
          <w:lang w:val="en-US" w:eastAsia="zh-CN"/>
        </w:rPr>
        <w:t>实施</w:t>
      </w:r>
      <w:r>
        <w:rPr>
          <w:rFonts w:hint="default" w:ascii="Times New Roman" w:hAnsi="Times New Roman" w:eastAsia="仿宋_GB2312" w:cs="Times New Roman"/>
          <w:b w:val="0"/>
          <w:bCs w:val="0"/>
          <w:color w:val="auto"/>
          <w:sz w:val="32"/>
          <w:szCs w:val="32"/>
          <w:highlight w:val="none"/>
          <w:lang w:val="en-US" w:eastAsia="zh-CN"/>
        </w:rPr>
        <w:t>带来</w:t>
      </w:r>
      <w:r>
        <w:rPr>
          <w:rFonts w:hint="eastAsia" w:ascii="Times New Roman" w:hAnsi="Times New Roman"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sz w:val="32"/>
          <w:szCs w:val="32"/>
          <w:highlight w:val="none"/>
          <w:lang w:val="en-US" w:eastAsia="zh-CN"/>
        </w:rPr>
        <w:t>发展机遇</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中共中央国务院关于新时代推动中部地区高质量发展的意见》明确提出支持郑州等建设国家中心城市，打造国家经济发展新的增长，建设先进制造业和现代服务业基地，中西部地区创新创业先行区，内陆双向开发新高地等目标。国家多个利好政策在郑州市叠加，二七区位于郑州市的核心地区之一，以此为契机形成全方位开放新格局，深化体制机制创新，构筑区域竞争新优势，为抢占未来竞争制高点创造有利条件。</w:t>
      </w:r>
    </w:p>
    <w:p>
      <w:pPr>
        <w:keepNext w:val="0"/>
        <w:keepLines w:val="0"/>
        <w:pageBreakBefore w:val="0"/>
        <w:widowControl w:val="0"/>
        <w:numPr>
          <w:ilvl w:val="0"/>
          <w:numId w:val="0"/>
        </w:numPr>
        <w:wordWrap/>
        <w:bidi w:val="0"/>
        <w:snapToGrid/>
        <w:spacing w:line="560" w:lineRule="exact"/>
        <w:ind w:right="0" w:rightChars="0"/>
        <w:jc w:val="center"/>
        <w:textAlignment w:val="auto"/>
        <w:rPr>
          <w:rFonts w:hint="default" w:ascii="黑体" w:hAnsi="黑体" w:eastAsia="黑体" w:cs="黑体"/>
          <w:b w:val="0"/>
          <w:bCs w:val="0"/>
          <w:color w:val="auto"/>
          <w:sz w:val="32"/>
          <w:szCs w:val="32"/>
          <w:highlight w:val="none"/>
          <w:lang w:val="en-US" w:eastAsia="zh-CN"/>
        </w:rPr>
      </w:pPr>
      <w:r>
        <w:rPr>
          <w:rFonts w:hint="default" w:ascii="黑体" w:hAnsi="黑体" w:eastAsia="黑体" w:cs="黑体"/>
          <w:b w:val="0"/>
          <w:bCs w:val="0"/>
          <w:color w:val="auto"/>
          <w:sz w:val="32"/>
          <w:szCs w:val="32"/>
          <w:highlight w:val="none"/>
          <w:lang w:val="en-US" w:eastAsia="zh-CN"/>
        </w:rPr>
        <w:t>第二章  产业发展总体要求</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 指导思想</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以习近平新时代中国特色社会主义思想为根本指引，全面贯彻落实党的二十大精神，深入学习贯彻习近平总书记关于河南、郑州工作的重要讲话和指示精神，准确把握习近平总书记关于高质量发展和国内国际“双循环”重要论述的深刻内涵，落实省委</w:t>
      </w:r>
      <w:r>
        <w:rPr>
          <w:rFonts w:hint="eastAsia" w:ascii="Times New Roman" w:hAnsi="Times New Roman" w:cs="Times New Roman"/>
          <w:b w:val="0"/>
          <w:bCs w:val="0"/>
          <w:color w:val="auto"/>
          <w:sz w:val="32"/>
          <w:szCs w:val="32"/>
          <w:highlight w:val="none"/>
          <w:lang w:val="en-US" w:eastAsia="zh-CN"/>
        </w:rPr>
        <w:t>、市委全会和</w:t>
      </w:r>
      <w:r>
        <w:rPr>
          <w:rFonts w:hint="default" w:ascii="Times New Roman" w:hAnsi="Times New Roman" w:eastAsia="仿宋_GB2312" w:cs="Times New Roman"/>
          <w:b w:val="0"/>
          <w:bCs w:val="0"/>
          <w:color w:val="auto"/>
          <w:sz w:val="32"/>
          <w:szCs w:val="32"/>
          <w:highlight w:val="none"/>
          <w:lang w:val="en-US" w:eastAsia="zh-CN"/>
        </w:rPr>
        <w:t>区委十二届三次全会部署，聚焦“当好国家队、提升国际化、突出高标杆”，锚定“两个确保”、开展“三标”活动、扎实推进“十大战略”行动，克难攻坚、行稳致远，奋力开启高质量建设现代化美好二七新征程，努力为郑州国家中心城市现代化建设、中原更加出彩作出新的更大的贡献。</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二、发展重点</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聚力抓产业、促转型，以现代商贸、特色商业和健康服务等高成长服务业，精密制造、智能制造等低碳科技型工业“双轮驱动”为发展路径，构筑现代经济新优势。坚持把传统产业改造升级、新兴产业重点培育、未来产业谋篇布局贯通起来，统筹高成长服务业、低碳科技型工业“双轮驱动”，着力构建现代产业体系。一是高质量推进以现代商贸、特色商业、健康服务等为支撑的高成长服务业。二是高水平推进以精密制造、智能制造等为带动的低碳科技型工业。三是强化产业园区支撑作用。不断强化要素保障，盘活存量建设用地、优化土地资源配置，扎实推进体制机制改革，激活园区发展动能。</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三、发展原则</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——质量引领，效益优先。</w:t>
      </w:r>
      <w:r>
        <w:rPr>
          <w:rFonts w:hint="default" w:ascii="Times New Roman" w:hAnsi="Times New Roman" w:eastAsia="仿宋_GB2312" w:cs="Times New Roman"/>
          <w:b w:val="0"/>
          <w:bCs w:val="0"/>
          <w:color w:val="auto"/>
          <w:sz w:val="32"/>
          <w:szCs w:val="32"/>
          <w:highlight w:val="none"/>
          <w:lang w:val="en-US" w:eastAsia="zh-CN"/>
        </w:rPr>
        <w:t>把发展质量作为现代化新征程下的主攻方向，以质量变革、效率变革、动力变革推动经济从规模扩张转向结构优化、从要素驱动转向创新驱动，聚焦高成长服务业、低碳科技型工业“双轮驱动”发展战略，从质量、规模、增速角度优化产业结构，建设更具竞争力的现代产业体系。</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w:t>
      </w:r>
      <w:r>
        <w:rPr>
          <w:rFonts w:hint="default" w:ascii="楷体_GB2312" w:hAnsi="楷体_GB2312" w:eastAsia="楷体_GB2312" w:cs="楷体_GB2312"/>
          <w:b w:val="0"/>
          <w:bCs w:val="0"/>
          <w:color w:val="auto"/>
          <w:sz w:val="32"/>
          <w:szCs w:val="32"/>
          <w:highlight w:val="none"/>
          <w:lang w:val="en-US" w:eastAsia="zh-CN"/>
        </w:rPr>
        <w:t>创新生态，前瞻布局。</w:t>
      </w:r>
      <w:r>
        <w:rPr>
          <w:rFonts w:hint="default" w:ascii="Times New Roman" w:hAnsi="Times New Roman" w:eastAsia="仿宋_GB2312" w:cs="Times New Roman"/>
          <w:b w:val="0"/>
          <w:bCs w:val="0"/>
          <w:color w:val="auto"/>
          <w:sz w:val="32"/>
          <w:szCs w:val="32"/>
          <w:highlight w:val="none"/>
          <w:lang w:val="en-US" w:eastAsia="zh-CN"/>
        </w:rPr>
        <w:t>面向世界科技前沿、面向国家重大需求、面向经济主战场，同步加强基础和应用研究，多维度培育创新生态，发挥科研机构、新型研发机构、大企业引领支撑作用，支持创新型中小微企业成长为创新重要发源地，推动产业链上中下游、大中小企业融通创新。</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w:t>
      </w:r>
      <w:r>
        <w:rPr>
          <w:rFonts w:hint="default" w:ascii="楷体_GB2312" w:hAnsi="楷体_GB2312" w:eastAsia="楷体_GB2312" w:cs="楷体_GB2312"/>
          <w:b w:val="0"/>
          <w:bCs w:val="0"/>
          <w:color w:val="auto"/>
          <w:sz w:val="32"/>
          <w:szCs w:val="32"/>
          <w:highlight w:val="none"/>
          <w:lang w:val="en-US" w:eastAsia="zh-CN"/>
        </w:rPr>
        <w:t>补链强链，数字赋能。</w:t>
      </w:r>
      <w:r>
        <w:rPr>
          <w:rFonts w:hint="default" w:ascii="Times New Roman" w:hAnsi="Times New Roman" w:eastAsia="仿宋_GB2312" w:cs="Times New Roman"/>
          <w:b w:val="0"/>
          <w:bCs w:val="0"/>
          <w:color w:val="auto"/>
          <w:sz w:val="32"/>
          <w:szCs w:val="32"/>
          <w:highlight w:val="none"/>
          <w:lang w:val="en-US" w:eastAsia="zh-CN"/>
        </w:rPr>
        <w:t>推动产业链创新链深度融合，打造一批产业链长、覆盖领域广、经济效益显著的产业集群，建立重点产业链的核心企业库，围绕产业链关键核心环节强化招商引资；发挥数字经济相关产业的赋能和辐射能力，促进数字经济与实体经济融合。</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w:t>
      </w:r>
      <w:r>
        <w:rPr>
          <w:rFonts w:hint="default" w:ascii="楷体_GB2312" w:hAnsi="楷体_GB2312" w:eastAsia="楷体_GB2312" w:cs="楷体_GB2312"/>
          <w:b w:val="0"/>
          <w:bCs w:val="0"/>
          <w:color w:val="auto"/>
          <w:sz w:val="32"/>
          <w:szCs w:val="32"/>
          <w:highlight w:val="none"/>
          <w:lang w:val="en-US" w:eastAsia="zh-CN"/>
        </w:rPr>
        <w:t>产城融合，聚集要素。</w:t>
      </w:r>
      <w:r>
        <w:rPr>
          <w:rFonts w:hint="default" w:ascii="Times New Roman" w:hAnsi="Times New Roman" w:eastAsia="仿宋_GB2312" w:cs="Times New Roman"/>
          <w:b w:val="0"/>
          <w:bCs w:val="0"/>
          <w:color w:val="auto"/>
          <w:sz w:val="32"/>
          <w:szCs w:val="32"/>
          <w:highlight w:val="none"/>
          <w:lang w:val="en-US" w:eastAsia="zh-CN"/>
        </w:rPr>
        <w:t>对标国内国际领先产城融合示范区，科学有序推动城市更新与功能提升、产业升级的协同发展，依托二七生态、文化、平台优势资源，吸引人才、技术、资本、信息等高端产业要素在二七创新融合。</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四、发展目标</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到2030年，力争实现地区生产总值1200亿元以上，2035年达到1500亿元，五大主导产业增加值占比达到60%以上。以现代商贸、特色商业、健康服务等为支撑的高成长服务业和以精密制造、智能制造等为带动的低碳科技型工业引领支撑作用愈加明显，基本建成郑州重要的国际商都核心区和现代化产业先行区</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全区产业规模更加壮大，产业结构更加优化，集群集聚水平更高，科技创新成果更加显著，绿色发展优势更加突出，开放合作效益更加明显。</w:t>
      </w:r>
    </w:p>
    <w:p>
      <w:pPr>
        <w:keepNext w:val="0"/>
        <w:keepLines w:val="0"/>
        <w:pageBreakBefore w:val="0"/>
        <w:widowControl w:val="0"/>
        <w:numPr>
          <w:ilvl w:val="0"/>
          <w:numId w:val="0"/>
        </w:numPr>
        <w:wordWrap/>
        <w:bidi w:val="0"/>
        <w:snapToGrid/>
        <w:spacing w:line="560" w:lineRule="exact"/>
        <w:ind w:right="0" w:rightChars="0"/>
        <w:jc w:val="center"/>
        <w:textAlignment w:val="auto"/>
        <w:rPr>
          <w:rFonts w:hint="default" w:ascii="黑体" w:hAnsi="黑体" w:eastAsia="黑体" w:cs="黑体"/>
          <w:b w:val="0"/>
          <w:bCs w:val="0"/>
          <w:color w:val="auto"/>
          <w:sz w:val="32"/>
          <w:szCs w:val="32"/>
          <w:highlight w:val="none"/>
          <w:lang w:val="en-US" w:eastAsia="zh-CN"/>
        </w:rPr>
      </w:pPr>
      <w:r>
        <w:rPr>
          <w:rFonts w:hint="default" w:ascii="黑体" w:hAnsi="黑体" w:eastAsia="黑体" w:cs="黑体"/>
          <w:b w:val="0"/>
          <w:bCs w:val="0"/>
          <w:color w:val="auto"/>
          <w:sz w:val="32"/>
          <w:szCs w:val="32"/>
          <w:highlight w:val="none"/>
          <w:lang w:val="en-US" w:eastAsia="zh-CN"/>
        </w:rPr>
        <w:t>第三章   积极构建现代产业发展体系</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 产业发展空间布局</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通过梳理现状产业集聚和空间分布特征，对地域相邻、产业相近的产业空间进行整合，强化产业关联，统筹考虑产业空间布局与城市功能匹配的关系，中心城区重点发展现代商贸、健康服务、特色商业、金融服务等产业，重点引进楼宇经济和总部企业；南三环以南郑密路两侧侯寨片区重点发展精密制造、医疗器械、现代物流等产业；南四环以南大学路两侧金水源片区重点发展医疗服务、健康管</w:t>
      </w:r>
      <w:r>
        <w:rPr>
          <w:rFonts w:hint="default" w:ascii="Times New Roman" w:hAnsi="Times New Roman" w:eastAsia="仿宋_GB2312" w:cs="Times New Roman"/>
          <w:b w:val="0"/>
          <w:bCs w:val="0"/>
          <w:color w:val="auto"/>
          <w:sz w:val="32"/>
          <w:szCs w:val="32"/>
          <w:highlight w:val="none"/>
          <w:lang w:val="en-US" w:eastAsia="zh-CN"/>
        </w:rPr>
        <w:t>理、整形美容、生物制药等健康产业；绕城高速两侧樱桃沟片区，立足水、林、地貌、遗址文化等资源特色，重点发展文旅文创、健康养生等产业。形成“布局集中、主业突出、产业集聚、土地集约”的发展态势，在空间上逐步形成“一核引领、</w:t>
      </w:r>
      <w:r>
        <w:rPr>
          <w:rFonts w:hint="eastAsia" w:ascii="Times New Roman" w:hAnsi="Times New Roman" w:cs="Times New Roman"/>
          <w:b w:val="0"/>
          <w:bCs w:val="0"/>
          <w:color w:val="auto"/>
          <w:sz w:val="32"/>
          <w:szCs w:val="32"/>
          <w:highlight w:val="none"/>
          <w:lang w:val="en-US" w:eastAsia="zh-CN"/>
        </w:rPr>
        <w:t>三</w:t>
      </w:r>
      <w:r>
        <w:rPr>
          <w:rFonts w:hint="default" w:ascii="Times New Roman" w:hAnsi="Times New Roman" w:eastAsia="仿宋_GB2312" w:cs="Times New Roman"/>
          <w:b w:val="0"/>
          <w:bCs w:val="0"/>
          <w:color w:val="auto"/>
          <w:sz w:val="32"/>
          <w:szCs w:val="32"/>
          <w:highlight w:val="none"/>
          <w:lang w:val="en-US" w:eastAsia="zh-CN"/>
        </w:rPr>
        <w:t>轴带动、三区协同、多版块支撑”的产业空间布局。</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eastAsia" w:ascii="仿宋" w:hAnsi="仿宋" w:eastAsia="仿宋" w:cs="仿宋"/>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“一核”即城市核心区二七商圈。</w:t>
      </w:r>
      <w:r>
        <w:rPr>
          <w:rFonts w:hint="default" w:ascii="仿宋" w:hAnsi="仿宋" w:eastAsia="仿宋" w:cs="仿宋"/>
          <w:b w:val="0"/>
          <w:bCs w:val="0"/>
          <w:color w:val="auto"/>
          <w:sz w:val="32"/>
          <w:szCs w:val="32"/>
          <w:highlight w:val="none"/>
          <w:lang w:val="en-US" w:eastAsia="zh-CN"/>
        </w:rPr>
        <w:t>以“打造具有标杆意义的现代时尚国际化核心商圈”为目标，以“国家级步行街”和“国家级智慧示范商圈”创建为抓手，聚焦特色、重塑地标、打造品牌，</w:t>
      </w:r>
      <w:r>
        <w:rPr>
          <w:rFonts w:hint="eastAsia" w:ascii="仿宋" w:hAnsi="仿宋" w:eastAsia="仿宋" w:cs="仿宋"/>
          <w:b w:val="0"/>
          <w:bCs w:val="0"/>
          <w:color w:val="auto"/>
          <w:sz w:val="32"/>
          <w:szCs w:val="32"/>
          <w:highlight w:val="none"/>
          <w:lang w:val="en-US" w:eastAsia="zh-CN"/>
        </w:rPr>
        <w:t>以二七商圈为带动，推进火车站商圈和二七商圈协同发展、融为一体，</w:t>
      </w:r>
      <w:r>
        <w:rPr>
          <w:rFonts w:hint="default" w:ascii="仿宋" w:hAnsi="仿宋" w:eastAsia="仿宋" w:cs="仿宋"/>
          <w:b w:val="0"/>
          <w:bCs w:val="0"/>
          <w:color w:val="auto"/>
          <w:sz w:val="32"/>
          <w:szCs w:val="32"/>
          <w:highlight w:val="none"/>
          <w:lang w:val="en-US" w:eastAsia="zh-CN"/>
        </w:rPr>
        <w:t>实施内外兼修的综合改造</w:t>
      </w:r>
      <w:r>
        <w:rPr>
          <w:rFonts w:hint="eastAsia" w:ascii="仿宋" w:hAnsi="仿宋" w:eastAsia="仿宋" w:cs="仿宋"/>
          <w:b w:val="0"/>
          <w:bCs w:val="0"/>
          <w:color w:val="auto"/>
          <w:sz w:val="32"/>
          <w:szCs w:val="32"/>
          <w:highlight w:val="none"/>
          <w:lang w:val="en-US" w:eastAsia="zh-CN"/>
        </w:rPr>
        <w:t>，促进</w:t>
      </w:r>
      <w:r>
        <w:rPr>
          <w:rFonts w:hint="default" w:ascii="仿宋" w:hAnsi="仿宋" w:eastAsia="仿宋" w:cs="仿宋"/>
          <w:b w:val="0"/>
          <w:bCs w:val="0"/>
          <w:color w:val="auto"/>
          <w:sz w:val="32"/>
          <w:szCs w:val="32"/>
          <w:highlight w:val="none"/>
          <w:lang w:val="en-US" w:eastAsia="zh-CN"/>
        </w:rPr>
        <w:t>形态提升、业态提升、功能提升，</w:t>
      </w:r>
      <w:r>
        <w:rPr>
          <w:rFonts w:hint="eastAsia" w:ascii="仿宋" w:hAnsi="仿宋" w:eastAsia="仿宋" w:cs="仿宋"/>
          <w:b w:val="0"/>
          <w:bCs w:val="0"/>
          <w:color w:val="auto"/>
          <w:sz w:val="32"/>
          <w:szCs w:val="32"/>
          <w:highlight w:val="none"/>
          <w:lang w:val="en-US" w:eastAsia="zh-CN"/>
        </w:rPr>
        <w:t>形成城市商贸核心区</w:t>
      </w:r>
      <w:r>
        <w:rPr>
          <w:rFonts w:hint="default" w:ascii="仿宋" w:hAnsi="仿宋" w:eastAsia="仿宋" w:cs="仿宋"/>
          <w:b w:val="0"/>
          <w:bCs w:val="0"/>
          <w:color w:val="auto"/>
          <w:sz w:val="32"/>
          <w:szCs w:val="32"/>
          <w:highlight w:val="none"/>
          <w:lang w:val="en-US" w:eastAsia="zh-CN"/>
        </w:rPr>
        <w:t>。</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eastAsia" w:ascii="仿宋" w:hAnsi="仿宋" w:eastAsia="仿宋" w:cs="仿宋"/>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“三轴”</w:t>
      </w:r>
      <w:r>
        <w:rPr>
          <w:rFonts w:hint="default" w:ascii="Times New Roman" w:hAnsi="Times New Roman" w:eastAsia="仿宋_GB2312" w:cs="Times New Roman"/>
          <w:b w:val="0"/>
          <w:bCs w:val="0"/>
          <w:color w:val="auto"/>
          <w:sz w:val="32"/>
          <w:szCs w:val="32"/>
          <w:highlight w:val="none"/>
          <w:lang w:val="en-US" w:eastAsia="zh-CN"/>
        </w:rPr>
        <w:t>即嵩山路、大学路</w:t>
      </w:r>
      <w:r>
        <w:rPr>
          <w:rFonts w:hint="eastAsia" w:ascii="Times New Roman" w:hAnsi="Times New Roman" w:eastAsia="仿宋_GB2312" w:cs="Times New Roman"/>
          <w:b w:val="0"/>
          <w:bCs w:val="0"/>
          <w:color w:val="auto"/>
          <w:sz w:val="32"/>
          <w:szCs w:val="32"/>
          <w:highlight w:val="none"/>
          <w:lang w:val="en-US" w:eastAsia="zh-CN"/>
        </w:rPr>
        <w:t>、京广路</w:t>
      </w:r>
      <w:r>
        <w:rPr>
          <w:rFonts w:hint="default" w:ascii="Times New Roman" w:hAnsi="Times New Roman" w:eastAsia="仿宋_GB2312" w:cs="Times New Roman"/>
          <w:b w:val="0"/>
          <w:bCs w:val="0"/>
          <w:color w:val="auto"/>
          <w:sz w:val="32"/>
          <w:szCs w:val="32"/>
          <w:highlight w:val="none"/>
          <w:lang w:val="en-US" w:eastAsia="zh-CN"/>
        </w:rPr>
        <w:t>发展轴</w:t>
      </w:r>
      <w:r>
        <w:rPr>
          <w:rFonts w:hint="eastAsia" w:ascii="Times New Roman" w:hAnsi="Times New Roman" w:eastAsia="仿宋_GB2312" w:cs="Times New Roman"/>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lang w:val="en-US" w:eastAsia="zh-CN"/>
        </w:rPr>
        <w:t>嵩山路沿线借助机械研究所、同位素研究所、测绘学院、海一云商、致欧科技等</w:t>
      </w:r>
      <w:r>
        <w:rPr>
          <w:rFonts w:hint="eastAsia" w:ascii="仿宋_GB2312" w:hAnsi="仿宋_GB2312" w:eastAsia="仿宋_GB2312" w:cs="仿宋_GB2312"/>
          <w:color w:val="auto"/>
          <w:sz w:val="32"/>
          <w:szCs w:val="32"/>
          <w:highlight w:val="none"/>
          <w:lang w:eastAsia="zh-CN"/>
        </w:rPr>
        <w:t>人才科技</w:t>
      </w:r>
      <w:r>
        <w:rPr>
          <w:rFonts w:hint="eastAsia" w:cs="仿宋_GB2312"/>
          <w:color w:val="auto"/>
          <w:sz w:val="32"/>
          <w:szCs w:val="32"/>
          <w:highlight w:val="none"/>
          <w:lang w:eastAsia="zh-CN"/>
        </w:rPr>
        <w:t>优势</w:t>
      </w:r>
      <w:r>
        <w:rPr>
          <w:rFonts w:hint="eastAsia" w:ascii="仿宋" w:hAnsi="仿宋" w:eastAsia="仿宋" w:cs="仿宋"/>
          <w:b w:val="0"/>
          <w:bCs w:val="0"/>
          <w:color w:val="auto"/>
          <w:sz w:val="32"/>
          <w:szCs w:val="32"/>
          <w:highlight w:val="none"/>
          <w:lang w:val="en-US" w:eastAsia="zh-CN"/>
        </w:rPr>
        <w:t>，整合利用闲置低效资源，通过城市更新，推进科技产业园建设，重点打造科技型产业走廊。大学路沿线借助郑大一附院、三附院、五附院、市二院、省儿童医院等优质医疗资源，以及永辉超市、丹尼斯、二七万达等商业资源，整合提升沿线商业资源和低效土地资源，通过地铁上盖物业、健康服务业产业链招商，重点打造</w:t>
      </w:r>
      <w:r>
        <w:rPr>
          <w:rFonts w:hint="eastAsia" w:ascii="仿宋_GB2312" w:hAnsi="仿宋_GB2312" w:eastAsia="仿宋_GB2312" w:cs="仿宋_GB2312"/>
          <w:color w:val="auto"/>
          <w:sz w:val="32"/>
          <w:szCs w:val="32"/>
          <w:highlight w:val="none"/>
          <w:lang w:eastAsia="zh-CN"/>
        </w:rPr>
        <w:t>生活性服务业和健康服务</w:t>
      </w:r>
      <w:r>
        <w:rPr>
          <w:rFonts w:hint="eastAsia" w:ascii="仿宋" w:hAnsi="仿宋" w:eastAsia="仿宋" w:cs="仿宋"/>
          <w:b w:val="0"/>
          <w:bCs w:val="0"/>
          <w:color w:val="auto"/>
          <w:sz w:val="32"/>
          <w:szCs w:val="32"/>
          <w:highlight w:val="none"/>
          <w:lang w:val="en-US" w:eastAsia="zh-CN"/>
        </w:rPr>
        <w:t>产业走廊。京广路沿线借助东西广场联通以及交通便利的优势，加快推进中央商务区项目建设，改造提升中陆广场、贾寨片区，发挥二七商圈、</w:t>
      </w:r>
      <w:r>
        <w:rPr>
          <w:rFonts w:hint="eastAsia" w:ascii="仿宋_GB2312" w:hAnsi="仿宋_GB2312" w:eastAsia="仿宋_GB2312" w:cs="仿宋_GB2312"/>
          <w:color w:val="auto"/>
          <w:sz w:val="32"/>
          <w:szCs w:val="32"/>
          <w:highlight w:val="none"/>
          <w:lang w:eastAsia="zh-CN"/>
        </w:rPr>
        <w:t>火车站商圈、东西广场对京广路沿线经济发展</w:t>
      </w:r>
      <w:r>
        <w:rPr>
          <w:rFonts w:hint="eastAsia"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lang w:eastAsia="zh-CN"/>
        </w:rPr>
        <w:t>龙头带动作用</w:t>
      </w:r>
      <w:r>
        <w:rPr>
          <w:rFonts w:hint="eastAsia" w:cs="仿宋_GB2312"/>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推进鞋业类市场批发仓储业务外迁，引导企业总部集聚、涉铁产业集聚，打造总部经济产业走廊。</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三区”即马寨老镇区、南部健康产业园区、侯寨老镇区三个产业集聚片区。马寨老镇区依托传统产业优势，加快推进智能技术及产品的融合应用，通过小微产业园建设，打造智能制造企业平台，加快布局战略新兴产业，完善智能制造产业生态链。南部健康产业园区依托仲景医药健康产业园、体育公园、医疗用地，重点引进培育产业总部、医疗服务、健康管理、整形美容、健康体检、生物制药等企业，通过招引社会资本建设体育场馆，承办体育赛事、健康论坛及学术研讨等活动，培育集医疗、健康、养生、休闲、体育运动于一体的大健康产业。侯寨老镇区，加快推进现有闲置厂区用地规划调整和招商工作，打造一批产业楼宇，着力引进精密制造、医疗器械等生产企业，加快制造业提档升级。推进中邮鸿运项目落地，形成现代物流产业集聚区。</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多版块</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即立足资源禀赋和产业发展，形成分布于</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一核</w:t>
      </w:r>
      <w:r>
        <w:rPr>
          <w:rFonts w:hint="eastAsia" w:ascii="Times New Roman" w:hAnsi="Times New Roman" w:cs="Times New Roman"/>
          <w:b w:val="0"/>
          <w:bCs w:val="0"/>
          <w:color w:val="auto"/>
          <w:sz w:val="32"/>
          <w:szCs w:val="32"/>
          <w:highlight w:val="none"/>
          <w:lang w:val="en-US" w:eastAsia="zh-CN"/>
        </w:rPr>
        <w:t>三</w:t>
      </w:r>
      <w:r>
        <w:rPr>
          <w:rFonts w:hint="default" w:ascii="Times New Roman" w:hAnsi="Times New Roman" w:eastAsia="仿宋_GB2312" w:cs="Times New Roman"/>
          <w:b w:val="0"/>
          <w:bCs w:val="0"/>
          <w:color w:val="auto"/>
          <w:sz w:val="32"/>
          <w:szCs w:val="32"/>
          <w:highlight w:val="none"/>
          <w:lang w:val="en-US" w:eastAsia="zh-CN"/>
        </w:rPr>
        <w:t>轴三区</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区域及其外围的多个产业集群。深化推进二七商圈城市复兴，依托辖区大型商业综合体，发展壮大现代商贸和特色商业集群。推进“地铁+商业”模式，强化总部企业招引，谋划推进一批特色楼宇，发展地铁经济产业集群、总部产业集群、跨境电商集群。发挥优越的医疗健康资源优势，推进实施“六医”工程，发展壮大健康服务业集群。有效利用闲置资源和低效工业用地，加快小微产业园建设，加速发展智能制造、精密制造等先进制造业和战略性新兴产业集群。</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二、加快发展主导产业</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（一）加速现代商贸业发展</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全力提升商贸业发展能级，支持发展新型消费模式，推动行业数字化、智慧化转型发展，将二七区建设成为商贸业的“发展高地”、高端品牌的“重要驻地”、消费服务的“品质胜地”、新兴消费的“打卡圣地”。</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w:t>
      </w:r>
      <w:r>
        <w:rPr>
          <w:rFonts w:hint="default" w:ascii="楷体" w:hAnsi="楷体" w:eastAsia="楷体" w:cs="楷体"/>
          <w:b/>
          <w:bCs/>
          <w:color w:val="auto"/>
          <w:sz w:val="32"/>
          <w:szCs w:val="32"/>
          <w:highlight w:val="none"/>
          <w:lang w:val="en-US" w:eastAsia="zh-CN"/>
        </w:rPr>
        <w:t>加快发展电子商务。</w:t>
      </w:r>
      <w:r>
        <w:rPr>
          <w:rFonts w:hint="default" w:ascii="Times New Roman" w:hAnsi="Times New Roman" w:eastAsia="仿宋_GB2312" w:cs="Times New Roman"/>
          <w:b w:val="0"/>
          <w:bCs w:val="0"/>
          <w:color w:val="auto"/>
          <w:sz w:val="32"/>
          <w:szCs w:val="32"/>
          <w:highlight w:val="none"/>
          <w:lang w:val="en-US" w:eastAsia="zh-CN"/>
        </w:rPr>
        <w:t>培育、集聚电子商务及相关服务企业，深入挖掘电子商务发展潜能，形成具有行业竞争力的电子商务产业集群。吸引更多电商龙头企业、特别是跨境电商企业到二七区落户，推动电商产业发展再上新台阶。多元化行业发展模式，大力推动直播电商、社交电商、生鲜到家、社区团购等新模式创新发展，推动MCN、KOL等电商服务机构域内集聚发展，着力培育一批在线新经济领军企业，支持有条件的园区建立直播电商基地。加快商业数字化升级，推动互联网平台企业与实体商业合作创新，加快高品质新型消费资源集聚，打造新型消费场景。鼓励实体商业加快数字化升级，建设数字商圈商街示范项目，打造一批智慧商圈和智慧购物示范场景。</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2、</w:t>
      </w:r>
      <w:r>
        <w:rPr>
          <w:rFonts w:hint="default" w:ascii="楷体" w:hAnsi="楷体" w:eastAsia="楷体" w:cs="楷体"/>
          <w:b/>
          <w:bCs/>
          <w:color w:val="auto"/>
          <w:sz w:val="32"/>
          <w:szCs w:val="32"/>
          <w:highlight w:val="none"/>
          <w:lang w:val="en-US" w:eastAsia="zh-CN"/>
        </w:rPr>
        <w:t>推进现代物流</w:t>
      </w:r>
      <w:r>
        <w:rPr>
          <w:rFonts w:hint="eastAsia" w:ascii="楷体" w:hAnsi="楷体" w:eastAsia="楷体" w:cs="楷体"/>
          <w:b/>
          <w:bCs/>
          <w:color w:val="auto"/>
          <w:sz w:val="32"/>
          <w:szCs w:val="32"/>
          <w:highlight w:val="none"/>
          <w:lang w:val="en-US" w:eastAsia="zh-CN"/>
        </w:rPr>
        <w:t>发展</w:t>
      </w:r>
      <w:r>
        <w:rPr>
          <w:rFonts w:hint="default" w:ascii="楷体" w:hAnsi="楷体" w:eastAsia="楷体" w:cs="楷体"/>
          <w:b/>
          <w:bCs/>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积极引进现代物流企业</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培育本土龙头物流企业</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促进物流产业结构优化升级。推动物流载体平台扩容增效，重点推进苏宁物流园、深国际北方物流港、中凯冷链等现代物流载体平台向货运枢纽型、生产服务型、多式联运型等综合性物流园区转变。统筹推进冷链物流、电商物流、快递物流、城乡配送物流、大宗商品物流等建设</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打造一批特色专业物流园区、基地</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提升专业物流服务能力</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形成冷链物流等专业物流服务的</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二七品牌</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。持续完善多式联运体系</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推动多式联运标准化建设</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强化国际物流多式联运数据交易服务平台服务能力</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支持本地企业延伸服务链条</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向多式联运经营人和综合物流服务商转型。加快物流业智慧化建设</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建立健全智慧物流技术体系、智慧物流标准体系</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构建智慧物流公共服务平台系统</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实现各行业、各部门信息化系统之间的有效对接、信息共享。</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3、</w:t>
      </w:r>
      <w:r>
        <w:rPr>
          <w:rFonts w:hint="default" w:ascii="楷体" w:hAnsi="楷体" w:eastAsia="楷体" w:cs="楷体"/>
          <w:b/>
          <w:bCs/>
          <w:color w:val="auto"/>
          <w:sz w:val="32"/>
          <w:szCs w:val="32"/>
          <w:highlight w:val="none"/>
          <w:lang w:val="en-US" w:eastAsia="zh-CN"/>
        </w:rPr>
        <w:t>推进消费新业态新场景。</w:t>
      </w:r>
      <w:r>
        <w:rPr>
          <w:rFonts w:hint="default" w:ascii="Times New Roman" w:hAnsi="Times New Roman" w:eastAsia="仿宋_GB2312" w:cs="Times New Roman"/>
          <w:b w:val="0"/>
          <w:bCs w:val="0"/>
          <w:color w:val="auto"/>
          <w:sz w:val="32"/>
          <w:szCs w:val="32"/>
          <w:highlight w:val="none"/>
          <w:lang w:val="en-US" w:eastAsia="zh-CN"/>
        </w:rPr>
        <w:t>升级二七商圈，全面推进高端零售行业发展。对标国内外一流地区，推动域内商圈多层次、差异化发展。以核心商圈建设升级为契机，重构、提升高端零售业发展格局，支持做强“首店经济”、“首发经济”，推动优质品牌资源集聚二七；重点支持二七广场智慧改造提升，盘活闲置商业空间，完善新型业态补充和功能重构，促进“吃购游文娱展”有机融合，重唤老商圈的新活力。全面提升二七商圈的消费能级，形成辐射都市圈的广域级商圈。把握行业技术升级及消费结构转型的关键时期，优化新能源汽车贸易业态，依托金博大商场区位优势、硬件设施、物业条件，引导、规划、发展形态更高端、资源更集约、功能更完备的综合展贸业态，吸引更多知名汽车品牌形成销售集聚，并为汽车电商、汽车金融、汽车后服务等上下游产业链全面发展提供高质量载体。</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w:t>
      </w:r>
      <w:r>
        <w:rPr>
          <w:rFonts w:hint="default" w:ascii="楷体_GB2312" w:hAnsi="楷体_GB2312" w:eastAsia="楷体_GB2312" w:cs="楷体_GB2312"/>
          <w:b/>
          <w:bCs/>
          <w:color w:val="auto"/>
          <w:sz w:val="32"/>
          <w:szCs w:val="32"/>
          <w:highlight w:val="none"/>
          <w:lang w:val="en-US" w:eastAsia="zh-CN"/>
        </w:rPr>
        <w:t>推进特色商业发展</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提升特色街区、升级特色商圈、建设特色楼宇、打造特色品牌、举办特色活动等大力发展特色商业。</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1、持续提升</w:t>
      </w:r>
      <w:r>
        <w:rPr>
          <w:rFonts w:hint="default" w:ascii="楷体" w:hAnsi="楷体" w:eastAsia="楷体" w:cs="楷体"/>
          <w:b/>
          <w:bCs/>
          <w:color w:val="auto"/>
          <w:sz w:val="32"/>
          <w:szCs w:val="32"/>
          <w:highlight w:val="none"/>
          <w:lang w:val="en-US" w:eastAsia="zh-CN"/>
        </w:rPr>
        <w:t>特色街区。</w:t>
      </w:r>
      <w:r>
        <w:rPr>
          <w:rFonts w:hint="default" w:ascii="Times New Roman" w:hAnsi="Times New Roman" w:eastAsia="仿宋_GB2312" w:cs="Times New Roman"/>
          <w:b w:val="0"/>
          <w:bCs w:val="0"/>
          <w:color w:val="auto"/>
          <w:sz w:val="32"/>
          <w:szCs w:val="32"/>
          <w:highlight w:val="none"/>
          <w:lang w:val="en-US" w:eastAsia="zh-CN"/>
        </w:rPr>
        <w:t>建设首个5G全覆盖的“智慧步行街”，打造兼具多元时尚潮流、消费融合创新和二七人文荟萃的国家级步行街。优化步行街业态布局，出台扶持政策，培育扶持街区原有亨得利钟表、刘胡兰副食、百年老蔡记等老字号品牌在街区稳步经营，打造“百年德化”特色与“首店经济”共生、传统与时尚相伴的特色商街；加强与文旅结合，深入挖掘历史文化，建成承载城市记忆与历史积淀、辐射都市圈的“百年德化”步行街。</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2、大力</w:t>
      </w:r>
      <w:r>
        <w:rPr>
          <w:rFonts w:hint="default" w:ascii="楷体" w:hAnsi="楷体" w:eastAsia="楷体" w:cs="楷体"/>
          <w:b/>
          <w:bCs/>
          <w:color w:val="auto"/>
          <w:sz w:val="32"/>
          <w:szCs w:val="32"/>
          <w:highlight w:val="none"/>
          <w:lang w:val="en-US" w:eastAsia="zh-CN"/>
        </w:rPr>
        <w:t>发展特色楼宇。</w:t>
      </w:r>
      <w:r>
        <w:rPr>
          <w:rFonts w:hint="default" w:ascii="Times New Roman" w:hAnsi="Times New Roman" w:eastAsia="仿宋_GB2312" w:cs="Times New Roman"/>
          <w:b w:val="0"/>
          <w:bCs w:val="0"/>
          <w:color w:val="auto"/>
          <w:sz w:val="32"/>
          <w:szCs w:val="32"/>
          <w:highlight w:val="none"/>
          <w:lang w:val="en-US" w:eastAsia="zh-CN"/>
        </w:rPr>
        <w:t>重点围绕企业总部、电子商务、金融保险、商贸服务、信息传媒等行业，打造一批特征明显、产业集聚、行业集中度高的特色专业楼宇，积极引导楼宇差异竞争、协同发展，加大亿元楼宇培育工作力度，推动楼宇产业集聚化发展。</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3、</w:t>
      </w:r>
      <w:r>
        <w:rPr>
          <w:rFonts w:hint="default" w:ascii="楷体" w:hAnsi="楷体" w:eastAsia="楷体" w:cs="楷体"/>
          <w:b/>
          <w:bCs/>
          <w:color w:val="auto"/>
          <w:sz w:val="32"/>
          <w:szCs w:val="32"/>
          <w:highlight w:val="none"/>
          <w:lang w:val="en-US" w:eastAsia="zh-CN"/>
        </w:rPr>
        <w:t>全力打造特色品牌。</w:t>
      </w:r>
      <w:r>
        <w:rPr>
          <w:rFonts w:hint="default" w:ascii="Times New Roman" w:hAnsi="Times New Roman" w:eastAsia="仿宋_GB2312" w:cs="Times New Roman"/>
          <w:b w:val="0"/>
          <w:bCs w:val="0"/>
          <w:color w:val="auto"/>
          <w:sz w:val="32"/>
          <w:szCs w:val="32"/>
          <w:highlight w:val="none"/>
          <w:lang w:val="en-US" w:eastAsia="zh-CN"/>
        </w:rPr>
        <w:t>鼓励本土老字号企业发展，鼓励老字号进景区、进商场、进车站，推动老字号发展体验店、定制服务、联名潮流跨界合作。鼓励发展文化消费，引进时尚潮牌、文化创意品牌、免税品牌等新型跨界的体验店、总部型首店、概念店、旗舰店、定制店、免税店。</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4、</w:t>
      </w:r>
      <w:r>
        <w:rPr>
          <w:rFonts w:hint="default" w:ascii="楷体" w:hAnsi="楷体" w:eastAsia="楷体" w:cs="楷体"/>
          <w:b/>
          <w:bCs/>
          <w:color w:val="auto"/>
          <w:sz w:val="32"/>
          <w:szCs w:val="32"/>
          <w:highlight w:val="none"/>
          <w:lang w:val="en-US" w:eastAsia="zh-CN"/>
        </w:rPr>
        <w:t>大力举办特色活动。</w:t>
      </w:r>
      <w:r>
        <w:rPr>
          <w:rFonts w:hint="default" w:ascii="Times New Roman" w:hAnsi="Times New Roman" w:eastAsia="仿宋_GB2312" w:cs="Times New Roman"/>
          <w:b w:val="0"/>
          <w:bCs w:val="0"/>
          <w:color w:val="auto"/>
          <w:sz w:val="32"/>
          <w:szCs w:val="32"/>
          <w:highlight w:val="none"/>
          <w:lang w:val="en-US" w:eastAsia="zh-CN"/>
        </w:rPr>
        <w:t>丰富“醉美•夜郑州”、“双节”跨新年系列活动，深入谋划推进抖音嗨购消费生活节和“美食嘉年华“活动等，打造消费增长“新引擎”，提振市场主体“精气神”。</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（三）促进健康服务业发展</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依托辖区优质医疗资源，聚焦发展健康服务业，统筹医学、医疗、医药、医美、医养、医心“六医”建设，着力构建全健康过程、全生命周期、全链条服务、全要素保障的大健康服务产业体系，着力构建大健康服务产业体系。</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eastAsia" w:ascii="Times New Roman" w:hAnsi="Times New Roman" w:eastAsia="仿宋_GB2312" w:cs="Times New Roman"/>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1、推进产业集聚。</w:t>
      </w:r>
      <w:r>
        <w:rPr>
          <w:rFonts w:hint="eastAsia" w:ascii="Times New Roman" w:hAnsi="Times New Roman" w:eastAsia="仿宋_GB2312" w:cs="Times New Roman"/>
          <w:b w:val="0"/>
          <w:bCs w:val="0"/>
          <w:color w:val="auto"/>
          <w:sz w:val="32"/>
          <w:szCs w:val="32"/>
          <w:highlight w:val="none"/>
          <w:lang w:val="en-US" w:eastAsia="zh-CN"/>
        </w:rPr>
        <w:t>依托辖区优质医疗资源，聚焦健康服务产业细分领域，有效衔接医疗机构、行业龙头企业、创新型中小微企业、科研院所等机构，打造健康产业生态体系，构建大学路健康服务业发展廊、南部健康产业园和大学路中原路健康服务产业园、健康服务业产业承载地的“一廊两园N点”的产业空间布局。</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2、实施“六医”工程。</w:t>
      </w:r>
      <w:r>
        <w:rPr>
          <w:rFonts w:hint="default" w:ascii="Times New Roman" w:hAnsi="Times New Roman" w:eastAsia="仿宋_GB2312" w:cs="Times New Roman"/>
          <w:b w:val="0"/>
          <w:bCs w:val="0"/>
          <w:color w:val="auto"/>
          <w:sz w:val="32"/>
          <w:szCs w:val="32"/>
          <w:highlight w:val="none"/>
          <w:lang w:val="en-US" w:eastAsia="zh-CN"/>
        </w:rPr>
        <w:t>全力推进实施</w:t>
      </w:r>
      <w:r>
        <w:rPr>
          <w:rFonts w:hint="eastAsia" w:ascii="Times New Roman" w:hAnsi="Times New Roman" w:eastAsia="仿宋_GB2312" w:cs="Times New Roman"/>
          <w:b w:val="0"/>
          <w:bCs w:val="0"/>
          <w:color w:val="auto"/>
          <w:sz w:val="32"/>
          <w:szCs w:val="32"/>
          <w:highlight w:val="none"/>
          <w:lang w:val="en-US" w:eastAsia="zh-CN"/>
        </w:rPr>
        <w:t>医学科技转化、精准医疗服务、医药行业壮大、医美品质</w:t>
      </w:r>
      <w:bookmarkStart w:id="3" w:name="_GoBack"/>
      <w:bookmarkEnd w:id="3"/>
      <w:r>
        <w:rPr>
          <w:rFonts w:hint="eastAsia" w:ascii="Times New Roman" w:hAnsi="Times New Roman" w:eastAsia="仿宋_GB2312" w:cs="Times New Roman"/>
          <w:b w:val="0"/>
          <w:bCs w:val="0"/>
          <w:color w:val="auto"/>
          <w:sz w:val="32"/>
          <w:szCs w:val="32"/>
          <w:highlight w:val="none"/>
          <w:lang w:val="en-US" w:eastAsia="zh-CN"/>
        </w:rPr>
        <w:t>提升、医养示范亮点打造、医心服务培育等“六医”工程。</w:t>
      </w:r>
      <w:r>
        <w:rPr>
          <w:rFonts w:hint="default" w:ascii="Times New Roman" w:hAnsi="Times New Roman" w:eastAsia="仿宋_GB2312" w:cs="Times New Roman"/>
          <w:b w:val="0"/>
          <w:bCs w:val="0"/>
          <w:color w:val="auto"/>
          <w:sz w:val="32"/>
          <w:szCs w:val="32"/>
          <w:highlight w:val="none"/>
          <w:lang w:val="en-US" w:eastAsia="zh-CN"/>
        </w:rPr>
        <w:t>“医学、医疗、医药、医美、医养、医心”健康服务业发展“六大工程”，推动大学路沿线配套发展优质医疗、生物制药、医疗器械、健康产品、健康管理、健康养老、健康金融等产业，打造区域大健康产业高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3、扶持企业做大做强。</w:t>
      </w:r>
      <w:r>
        <w:rPr>
          <w:rFonts w:hint="eastAsia" w:ascii="Times New Roman" w:hAnsi="Times New Roman" w:eastAsia="仿宋_GB2312" w:cs="Times New Roman"/>
          <w:color w:val="auto"/>
          <w:sz w:val="32"/>
          <w:szCs w:val="32"/>
          <w:highlight w:val="none"/>
          <w:lang w:val="en-US" w:eastAsia="zh-CN"/>
        </w:rPr>
        <w:t>积极争取和落实省市健康服务业发展扶持政策，积极对接各类投资机构，大力吸引社会资本参与健康服务业发展，支持现有企业加大投入，重点投向健康服务业未来引领性领域，鼓励企业通过多层次资本市场拓展融资渠道。推进产业链延链补链，争取每年引进健康服务业项目和企业10个以上、总部企业2个以上。</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（四）</w:t>
      </w:r>
      <w:r>
        <w:rPr>
          <w:rFonts w:hint="default" w:ascii="楷体_GB2312" w:hAnsi="楷体_GB2312" w:eastAsia="楷体_GB2312" w:cs="楷体_GB2312"/>
          <w:b/>
          <w:bCs/>
          <w:color w:val="auto"/>
          <w:sz w:val="32"/>
          <w:szCs w:val="32"/>
          <w:highlight w:val="none"/>
          <w:lang w:val="en-US" w:eastAsia="zh-CN"/>
        </w:rPr>
        <w:t>推进精密制造业发展</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布局建设包括电子仪表、教学仪器、精细化工、质量检测、生物医药等在内的精密制造创新核，提升战略科技力量的集中度、标识度。</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w:t>
      </w:r>
      <w:r>
        <w:rPr>
          <w:rFonts w:hint="default" w:ascii="楷体" w:hAnsi="楷体" w:eastAsia="楷体" w:cs="楷体"/>
          <w:b/>
          <w:bCs/>
          <w:color w:val="auto"/>
          <w:sz w:val="32"/>
          <w:szCs w:val="32"/>
          <w:highlight w:val="none"/>
          <w:lang w:val="en-US" w:eastAsia="zh-CN"/>
        </w:rPr>
        <w:t>建立高新技术企业培育库。</w:t>
      </w:r>
      <w:r>
        <w:rPr>
          <w:rFonts w:hint="default" w:ascii="Times New Roman" w:hAnsi="Times New Roman" w:eastAsia="仿宋_GB2312" w:cs="Times New Roman"/>
          <w:b w:val="0"/>
          <w:bCs w:val="0"/>
          <w:color w:val="auto"/>
          <w:sz w:val="32"/>
          <w:szCs w:val="32"/>
          <w:highlight w:val="none"/>
          <w:lang w:val="en-US" w:eastAsia="zh-CN"/>
        </w:rPr>
        <w:t>围绕精密制造领域企业，培育一批创新能力强、特色突出、在国内细分市场占有优势地位的行业“配套专家”“单打冠军”和“行业小巨人”。对入库企业建立联动服务机制，按照“一企一策”提前介入、精准辅导。打造技术创新中心体系。动态编制和滚动发布精密制造产业关键核心技术攻关项目清单。</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2、</w:t>
      </w:r>
      <w:r>
        <w:rPr>
          <w:rFonts w:hint="default" w:ascii="楷体" w:hAnsi="楷体" w:eastAsia="楷体" w:cs="楷体"/>
          <w:b/>
          <w:bCs/>
          <w:color w:val="auto"/>
          <w:sz w:val="32"/>
          <w:szCs w:val="32"/>
          <w:highlight w:val="none"/>
          <w:lang w:val="en-US" w:eastAsia="zh-CN"/>
        </w:rPr>
        <w:t>营造精密制造企业发展空间。</w:t>
      </w:r>
      <w:r>
        <w:rPr>
          <w:rFonts w:hint="default" w:ascii="Times New Roman" w:hAnsi="Times New Roman" w:eastAsia="仿宋_GB2312" w:cs="Times New Roman"/>
          <w:b w:val="0"/>
          <w:bCs w:val="0"/>
          <w:color w:val="auto"/>
          <w:sz w:val="32"/>
          <w:szCs w:val="32"/>
          <w:highlight w:val="none"/>
          <w:lang w:val="en-US" w:eastAsia="zh-CN"/>
        </w:rPr>
        <w:t>充分发挥建成的数字经济产业园、智能智造产业园、现代食品产业园、高端装备产业园等小微产业园平台作用。引进一批专精特新、精密制造等低碳科技型工业，重点瞄准实力突出的“旗舰型”企业、竞争力强的“领头羊”企业、高科技“独角兽”企业，提升智能制造、精密制造等产业在全区未来经济发展中的占比。</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3、加速产业链延链补链</w:t>
      </w:r>
      <w:r>
        <w:rPr>
          <w:rFonts w:hint="default" w:ascii="楷体" w:hAnsi="楷体" w:eastAsia="楷体" w:cs="楷体"/>
          <w:b/>
          <w:bCs/>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绘制精密制造产业链图谱和招商地图，建立产业目标企业清单和数据库。综合运用靶向招商、产业链招商等方式，引进一批延链、补链、强链项目，重点支持龙头企业引育产业链上下游关键配套企业和关联服务环节，初步形成以启阳工控、领航机器人、业伟实业等一批精密制造企业为基础的优质企业集群。</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（五）加快智能制造业发展</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提速数字化转型，建设高赋能智能制造体系，坚持以新一代信息技术赋能制造业高质量发展，把融合发展作为推动制造业发展的重要抓手，创新构建全区制造业智慧产业生态体系。</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w:t>
      </w:r>
      <w:r>
        <w:rPr>
          <w:rFonts w:hint="default" w:ascii="楷体" w:hAnsi="楷体" w:eastAsia="楷体" w:cs="楷体"/>
          <w:b/>
          <w:bCs/>
          <w:color w:val="auto"/>
          <w:sz w:val="32"/>
          <w:szCs w:val="32"/>
          <w:highlight w:val="none"/>
          <w:lang w:val="en-US" w:eastAsia="zh-CN"/>
        </w:rPr>
        <w:t>加快制造业数字化转型。</w:t>
      </w:r>
      <w:r>
        <w:rPr>
          <w:rFonts w:hint="default" w:ascii="Times New Roman" w:hAnsi="Times New Roman" w:eastAsia="仿宋_GB2312" w:cs="Times New Roman"/>
          <w:b w:val="0"/>
          <w:bCs w:val="0"/>
          <w:color w:val="auto"/>
          <w:sz w:val="32"/>
          <w:szCs w:val="32"/>
          <w:highlight w:val="none"/>
          <w:lang w:val="en-US" w:eastAsia="zh-CN"/>
        </w:rPr>
        <w:t>以顶津食品、顶益食品、花花牛乳业、新大方重工、名扬窗饰等企业为龙头，加快设备设施智能化改造为契机，积极融入郑州市“数字化转型伙伴”、“万企上云上平台”行动，联合工业互联网平台企业、工业云平台服务商、智能制造解决方案供应商等企业和组织，打造数字化转型生态服务体系，加快人工智能、信息技术发展，助力企业“上云用数赋智”，促进制造业数字化、智能化、协同化融合。</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2、</w:t>
      </w:r>
      <w:r>
        <w:rPr>
          <w:rFonts w:hint="default" w:ascii="楷体" w:hAnsi="楷体" w:eastAsia="楷体" w:cs="楷体"/>
          <w:b/>
          <w:bCs/>
          <w:color w:val="auto"/>
          <w:sz w:val="32"/>
          <w:szCs w:val="32"/>
          <w:highlight w:val="none"/>
          <w:lang w:val="en-US" w:eastAsia="zh-CN"/>
        </w:rPr>
        <w:t>培育壮大创新型企业。</w:t>
      </w:r>
      <w:r>
        <w:rPr>
          <w:rFonts w:hint="default" w:ascii="Times New Roman" w:hAnsi="Times New Roman" w:eastAsia="仿宋_GB2312" w:cs="Times New Roman"/>
          <w:b w:val="0"/>
          <w:bCs w:val="0"/>
          <w:color w:val="auto"/>
          <w:sz w:val="32"/>
          <w:szCs w:val="32"/>
          <w:highlight w:val="none"/>
          <w:lang w:val="en-US" w:eastAsia="zh-CN"/>
        </w:rPr>
        <w:t>加快培育一批制造业“双创”示范企业和技术创新示范企业。实施创新型企业培育计划，大力支持高新技术企业发展，聚焦高端装备、生物医药、新材料等新兴领域，培育一批科技含量高、产出效益好的科技型企业，推动产业链融通发展；在现代食品等传统产业领域，培育一批开展产品创新、品牌创新、模式创新的技术改造企业，推动产业转型升级。</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3、</w:t>
      </w:r>
      <w:r>
        <w:rPr>
          <w:rFonts w:hint="default" w:ascii="楷体" w:hAnsi="楷体" w:eastAsia="楷体" w:cs="楷体"/>
          <w:b/>
          <w:bCs/>
          <w:color w:val="auto"/>
          <w:sz w:val="32"/>
          <w:szCs w:val="32"/>
          <w:highlight w:val="none"/>
          <w:lang w:val="en-US" w:eastAsia="zh-CN"/>
        </w:rPr>
        <w:t>推进</w:t>
      </w:r>
      <w:r>
        <w:rPr>
          <w:rFonts w:hint="eastAsia" w:ascii="楷体" w:hAnsi="楷体" w:eastAsia="楷体" w:cs="楷体"/>
          <w:b/>
          <w:bCs/>
          <w:color w:val="auto"/>
          <w:sz w:val="32"/>
          <w:szCs w:val="32"/>
          <w:highlight w:val="none"/>
          <w:lang w:val="en-US" w:eastAsia="zh-CN"/>
        </w:rPr>
        <w:t>产业协同发展</w:t>
      </w:r>
      <w:r>
        <w:rPr>
          <w:rFonts w:hint="default" w:ascii="楷体" w:hAnsi="楷体" w:eastAsia="楷体" w:cs="楷体"/>
          <w:b/>
          <w:bCs/>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搭建大中小企业融通发展平台，探索建立大中小微企业协作配套产业联盟，开展供应链协同、创新能力共享等融通发展模式，缩短服务半径，降低企业成本，实行本地化配套，走“以小补大”“以专配套”“专精结合”的融通发展道路，引领小企业精细化生产和智能化制造水平，带动培育一批技术创新、业态创新、模式创新和管理创新的链条企业，构建整机企业、配套企业和服务企业产业链条协同发展的新格局。</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三、做大做强优势产业</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加快推进现代食品、装备制造等传统优势产业的提档升级，围绕优势产业做好精准链式招商，进一步延链补链，不断壮大优势产业规模。</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w:t>
      </w:r>
      <w:r>
        <w:rPr>
          <w:rFonts w:hint="default" w:ascii="楷体" w:hAnsi="楷体" w:eastAsia="楷体" w:cs="楷体"/>
          <w:b/>
          <w:bCs/>
          <w:color w:val="auto"/>
          <w:sz w:val="32"/>
          <w:szCs w:val="32"/>
          <w:highlight w:val="none"/>
          <w:lang w:val="en-US" w:eastAsia="zh-CN"/>
        </w:rPr>
        <w:t>食品</w:t>
      </w:r>
      <w:r>
        <w:rPr>
          <w:rFonts w:hint="eastAsia" w:ascii="楷体" w:hAnsi="楷体" w:eastAsia="楷体" w:cs="楷体"/>
          <w:b/>
          <w:bCs/>
          <w:color w:val="auto"/>
          <w:sz w:val="32"/>
          <w:szCs w:val="32"/>
          <w:highlight w:val="none"/>
          <w:lang w:val="en-US" w:eastAsia="zh-CN"/>
        </w:rPr>
        <w:t>制造</w:t>
      </w:r>
      <w:r>
        <w:rPr>
          <w:rFonts w:hint="default" w:ascii="楷体" w:hAnsi="楷体" w:eastAsia="楷体" w:cs="楷体"/>
          <w:b/>
          <w:bCs/>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进一步升级以方便食品、乳制品、茶饮料、果汁饮品、休闲食品及食品机械等为基础的产品体系。</w:t>
      </w:r>
      <w:r>
        <w:rPr>
          <w:rFonts w:hint="default" w:ascii="Times New Roman" w:hAnsi="Times New Roman" w:eastAsia="仿宋_GB2312" w:cs="Times New Roman"/>
          <w:b w:val="0"/>
          <w:bCs w:val="0"/>
          <w:color w:val="auto"/>
          <w:sz w:val="32"/>
          <w:szCs w:val="32"/>
          <w:highlight w:val="none"/>
          <w:lang w:val="en-US" w:eastAsia="zh-CN"/>
        </w:rPr>
        <w:t>做优做先重</w:t>
      </w:r>
      <w:r>
        <w:rPr>
          <w:rFonts w:hint="default" w:ascii="Times New Roman" w:hAnsi="Times New Roman" w:eastAsia="仿宋_GB2312" w:cs="Times New Roman"/>
          <w:b w:val="0"/>
          <w:bCs w:val="0"/>
          <w:color w:val="auto"/>
          <w:sz w:val="32"/>
          <w:szCs w:val="32"/>
          <w:highlight w:val="none"/>
          <w:lang w:val="en-US" w:eastAsia="zh-CN"/>
        </w:rPr>
        <w:t>点企业的技术改造和智能升级；做专做精休闲食品和绿色食品，以功能性食品和饮料、保健食品、休闲食品为主实行深度开发加工，向大规模、营养化、高品质方向发展；做长做深产业链招引，进一步强化土地、资金等要素保障，优化发展环境，树立品牌形象，将企业的上下游关联业态引入二七区，培育发展原料供应、加工装备、包装制造等行业，积极承接产业转移，以融城发展战略优化工业布局，促使三大产业协同发展。</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2、</w:t>
      </w:r>
      <w:r>
        <w:rPr>
          <w:rFonts w:hint="default" w:ascii="楷体" w:hAnsi="楷体" w:eastAsia="楷体" w:cs="楷体"/>
          <w:b/>
          <w:bCs/>
          <w:color w:val="auto"/>
          <w:sz w:val="32"/>
          <w:szCs w:val="32"/>
          <w:highlight w:val="none"/>
          <w:lang w:val="en-US" w:eastAsia="zh-CN"/>
        </w:rPr>
        <w:t>装备制造。</w:t>
      </w:r>
      <w:r>
        <w:rPr>
          <w:rFonts w:hint="default" w:ascii="Times New Roman" w:hAnsi="Times New Roman" w:eastAsia="仿宋_GB2312" w:cs="Times New Roman"/>
          <w:b w:val="0"/>
          <w:bCs w:val="0"/>
          <w:color w:val="auto"/>
          <w:sz w:val="32"/>
          <w:szCs w:val="32"/>
          <w:highlight w:val="none"/>
          <w:lang w:val="en-US" w:eastAsia="zh-CN"/>
        </w:rPr>
        <w:t xml:space="preserve">坚持抓大与扶小并重，着力扶持龙头企业的创新能力发展，提高对创新集群的支撑带动作用；大力培育科技型中小企业，增强创新集群的创新活力和可持续发展能力。推进企业工程中心、创新中心、设计中心等平台的建设，用新技术、新工艺、新设备改造提升装备制造企业技术研发水平。 </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3、</w:t>
      </w:r>
      <w:r>
        <w:rPr>
          <w:rFonts w:hint="default" w:ascii="楷体" w:hAnsi="楷体" w:eastAsia="楷体" w:cs="楷体"/>
          <w:b/>
          <w:bCs/>
          <w:color w:val="auto"/>
          <w:sz w:val="32"/>
          <w:szCs w:val="32"/>
          <w:highlight w:val="none"/>
          <w:lang w:val="en-US" w:eastAsia="zh-CN"/>
        </w:rPr>
        <w:t>文旅文创。</w:t>
      </w:r>
      <w:r>
        <w:rPr>
          <w:rFonts w:hint="default" w:ascii="Times New Roman" w:hAnsi="Times New Roman" w:eastAsia="仿宋_GB2312" w:cs="Times New Roman"/>
          <w:b w:val="0"/>
          <w:bCs w:val="0"/>
          <w:color w:val="auto"/>
          <w:sz w:val="32"/>
          <w:szCs w:val="32"/>
          <w:highlight w:val="none"/>
          <w:lang w:val="en-US" w:eastAsia="zh-CN"/>
        </w:rPr>
        <w:t>以“转型升级融合发展”的理念，践行“融合化、品牌化、精品化、智慧化”的原则，积极实施文旅文创融合战略，大力建设文旅名区。提档升级旅游业发展，重点发展乡村旅游、都市休闲旅游、文化旅游、红色旅游</w:t>
      </w:r>
      <w:r>
        <w:rPr>
          <w:rFonts w:hint="eastAsia" w:ascii="Times New Roman" w:hAnsi="Times New Roman" w:cs="Times New Roman"/>
          <w:b w:val="0"/>
          <w:bCs w:val="0"/>
          <w:color w:val="auto"/>
          <w:sz w:val="32"/>
          <w:szCs w:val="32"/>
          <w:highlight w:val="none"/>
          <w:lang w:val="en-US" w:eastAsia="zh-CN"/>
        </w:rPr>
        <w:t>；依托瑞光创意产业园、樱桃沟文创村、</w:t>
      </w:r>
      <w:r>
        <w:rPr>
          <w:rFonts w:hint="default" w:ascii="Times New Roman" w:hAnsi="Times New Roman" w:eastAsia="仿宋_GB2312" w:cs="Times New Roman"/>
          <w:b w:val="0"/>
          <w:bCs w:val="0"/>
          <w:color w:val="auto"/>
          <w:sz w:val="32"/>
          <w:szCs w:val="32"/>
          <w:highlight w:val="none"/>
          <w:lang w:val="en-US" w:eastAsia="zh-CN"/>
        </w:rPr>
        <w:t>培育发展</w:t>
      </w:r>
      <w:r>
        <w:rPr>
          <w:rFonts w:hint="eastAsia" w:ascii="Times New Roman" w:hAnsi="Times New Roman" w:cs="Times New Roman"/>
          <w:b w:val="0"/>
          <w:bCs w:val="0"/>
          <w:color w:val="auto"/>
          <w:sz w:val="32"/>
          <w:szCs w:val="32"/>
          <w:highlight w:val="none"/>
          <w:lang w:val="en-US" w:eastAsia="zh-CN"/>
        </w:rPr>
        <w:t>创意产业，</w:t>
      </w:r>
      <w:r>
        <w:rPr>
          <w:rFonts w:hint="default" w:ascii="Times New Roman" w:hAnsi="Times New Roman" w:eastAsia="仿宋_GB2312" w:cs="Times New Roman"/>
          <w:b w:val="0"/>
          <w:bCs w:val="0"/>
          <w:color w:val="auto"/>
          <w:sz w:val="32"/>
          <w:szCs w:val="32"/>
          <w:highlight w:val="none"/>
          <w:lang w:val="en-US" w:eastAsia="zh-CN"/>
        </w:rPr>
        <w:t>商务旅游、体育旅游、研学旅游、康养旅游等业态，推动旅游业高质量发展。</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四、前瞻布局未来产业</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聚焦新能源汽车、电子信息、光伏发电等战略新兴产业以及人工智能、区块链、元宇宙等前沿科技领域，加快布局具有前瞻性、战略性的前沿产业，抢占技术产业高地。</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w:t>
      </w:r>
      <w:r>
        <w:rPr>
          <w:rFonts w:hint="default" w:ascii="楷体" w:hAnsi="楷体" w:eastAsia="楷体" w:cs="楷体"/>
          <w:b/>
          <w:bCs/>
          <w:color w:val="auto"/>
          <w:sz w:val="32"/>
          <w:szCs w:val="32"/>
          <w:highlight w:val="none"/>
          <w:lang w:val="en-US" w:eastAsia="zh-CN"/>
        </w:rPr>
        <w:t>电子信息。</w:t>
      </w:r>
      <w:r>
        <w:rPr>
          <w:rFonts w:hint="default" w:ascii="Times New Roman" w:hAnsi="Times New Roman" w:eastAsia="仿宋_GB2312" w:cs="Times New Roman"/>
          <w:b w:val="0"/>
          <w:bCs w:val="0"/>
          <w:color w:val="auto"/>
          <w:sz w:val="32"/>
          <w:szCs w:val="32"/>
          <w:highlight w:val="none"/>
          <w:lang w:val="en-US" w:eastAsia="zh-CN"/>
        </w:rPr>
        <w:t>推进以河南九域腾龙信息工程、河南交院工程技术集团、郑州兰盾电子有限公司等龙头企业为引领的电力、交通、通信的新一代电子信息行业的集聚，依托中物科技园、郑投科技园引入提供协同开发、技术转移、科研成果转化的科研开发企业形成产业链。</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2、</w:t>
      </w:r>
      <w:r>
        <w:rPr>
          <w:rFonts w:hint="default" w:ascii="楷体" w:hAnsi="楷体" w:eastAsia="楷体" w:cs="楷体"/>
          <w:b/>
          <w:bCs/>
          <w:color w:val="auto"/>
          <w:sz w:val="32"/>
          <w:szCs w:val="32"/>
          <w:highlight w:val="none"/>
          <w:lang w:val="en-US" w:eastAsia="zh-CN"/>
        </w:rPr>
        <w:t>人工智能。</w:t>
      </w:r>
      <w:r>
        <w:rPr>
          <w:rFonts w:hint="default" w:ascii="Times New Roman" w:hAnsi="Times New Roman" w:eastAsia="仿宋_GB2312" w:cs="Times New Roman"/>
          <w:b w:val="0"/>
          <w:bCs w:val="0"/>
          <w:color w:val="auto"/>
          <w:sz w:val="32"/>
          <w:szCs w:val="32"/>
          <w:highlight w:val="none"/>
          <w:lang w:val="en-US" w:eastAsia="zh-CN"/>
        </w:rPr>
        <w:t>重点布局人工智能、大数据基础硬件、基础软件和技术服务，集聚一批知名企业和研究机构，打造人工智能“研发-服务-投资”产融生态圈。区块链，引进并培育从事分布式区块链研发、场景应用、计算机系统集成、数据处理等业务的企业，围绕区块链关键核心技术、区块链与新一代信息技术融合等方面开展攻关，为区块链技术创新和产业发展夯实基础。</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3、</w:t>
      </w:r>
      <w:r>
        <w:rPr>
          <w:rFonts w:hint="default" w:ascii="楷体" w:hAnsi="楷体" w:eastAsia="楷体" w:cs="楷体"/>
          <w:b/>
          <w:bCs/>
          <w:color w:val="auto"/>
          <w:sz w:val="32"/>
          <w:szCs w:val="32"/>
          <w:highlight w:val="none"/>
          <w:lang w:val="en-US" w:eastAsia="zh-CN"/>
        </w:rPr>
        <w:t>元宇宙。</w:t>
      </w:r>
      <w:r>
        <w:rPr>
          <w:rFonts w:hint="default" w:ascii="Times New Roman" w:hAnsi="Times New Roman" w:eastAsia="仿宋_GB2312" w:cs="Times New Roman"/>
          <w:b w:val="0"/>
          <w:bCs w:val="0"/>
          <w:color w:val="auto"/>
          <w:sz w:val="32"/>
          <w:szCs w:val="32"/>
          <w:highlight w:val="none"/>
          <w:lang w:val="en-US" w:eastAsia="zh-CN"/>
        </w:rPr>
        <w:t>支持企业开展虚拟现实、增强现实、3D引擎、物联网等技术创新，加速数字技术融合赋能实体经济，鼓励布局元宇宙新兴业态，开展元宇宙平台建设，在网络文娱、智能制造、交通出行、在线教育、医疗健康等领域，打造具有影响力的元宇宙标杆示范应用。</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4、</w:t>
      </w:r>
      <w:r>
        <w:rPr>
          <w:rFonts w:hint="default" w:ascii="楷体" w:hAnsi="楷体" w:eastAsia="楷体" w:cs="楷体"/>
          <w:b/>
          <w:bCs/>
          <w:color w:val="auto"/>
          <w:sz w:val="32"/>
          <w:szCs w:val="32"/>
          <w:highlight w:val="none"/>
          <w:lang w:val="en-US" w:eastAsia="zh-CN"/>
        </w:rPr>
        <w:t>新能源。</w:t>
      </w:r>
      <w:r>
        <w:rPr>
          <w:rFonts w:hint="default" w:ascii="Times New Roman" w:hAnsi="Times New Roman" w:eastAsia="仿宋_GB2312" w:cs="Times New Roman"/>
          <w:b w:val="0"/>
          <w:bCs w:val="0"/>
          <w:color w:val="auto"/>
          <w:sz w:val="32"/>
          <w:szCs w:val="32"/>
          <w:highlight w:val="none"/>
          <w:lang w:val="en-US" w:eastAsia="zh-CN"/>
        </w:rPr>
        <w:t>全面推动新能源在工业和建筑领域应用，逐步增加公共机构新建建筑屋顶光伏覆盖率，稳步推进经开区天方、澍青康复医</w:t>
      </w:r>
      <w:r>
        <w:rPr>
          <w:rFonts w:hint="default" w:ascii="Times New Roman" w:hAnsi="Times New Roman" w:eastAsia="仿宋_GB2312" w:cs="Times New Roman"/>
          <w:b w:val="0"/>
          <w:bCs w:val="0"/>
          <w:color w:val="auto"/>
          <w:sz w:val="32"/>
          <w:szCs w:val="32"/>
          <w:highlight w:val="none"/>
          <w:lang w:val="en-US" w:eastAsia="zh-CN"/>
        </w:rPr>
        <w:t>院</w:t>
      </w:r>
      <w:r>
        <w:rPr>
          <w:rFonts w:hint="eastAsia" w:ascii="Times New Roman" w:hAnsi="Times New Roman" w:cs="Times New Roman"/>
          <w:b w:val="0"/>
          <w:bCs w:val="0"/>
          <w:color w:val="auto"/>
          <w:sz w:val="32"/>
          <w:szCs w:val="32"/>
          <w:highlight w:val="none"/>
          <w:lang w:val="en-US" w:eastAsia="zh-CN"/>
        </w:rPr>
        <w:t>光伏</w:t>
      </w:r>
      <w:r>
        <w:rPr>
          <w:rFonts w:hint="default" w:ascii="Times New Roman" w:hAnsi="Times New Roman" w:eastAsia="仿宋_GB2312" w:cs="Times New Roman"/>
          <w:b w:val="0"/>
          <w:bCs w:val="0"/>
          <w:color w:val="auto"/>
          <w:sz w:val="32"/>
          <w:szCs w:val="32"/>
          <w:highlight w:val="none"/>
          <w:lang w:val="en-US" w:eastAsia="zh-CN"/>
        </w:rPr>
        <w:t>项目的落地，加快苏宁、花花牛光伏项目建设，着力构建绿色制造体系。</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五、提质发展传统产业</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围绕批发零售业综合竞争力提升，以模式创新、业态融合、商圈提升、企业培育、环境优化为重点，推动行业由销售商品向引导生产、扩大消费和创新生活方式转变，由粗放式发展向量质并举的集约式发展转变，由分散独立的竞争主体向融合协同新生态转变。</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w:t>
      </w:r>
      <w:r>
        <w:rPr>
          <w:rFonts w:hint="default" w:ascii="楷体" w:hAnsi="楷体" w:eastAsia="楷体" w:cs="楷体"/>
          <w:b/>
          <w:bCs/>
          <w:color w:val="auto"/>
          <w:sz w:val="32"/>
          <w:szCs w:val="32"/>
          <w:highlight w:val="none"/>
          <w:lang w:val="en-US" w:eastAsia="zh-CN"/>
        </w:rPr>
        <w:t>推动</w:t>
      </w:r>
      <w:r>
        <w:rPr>
          <w:rFonts w:hint="eastAsia" w:ascii="楷体" w:hAnsi="楷体" w:eastAsia="楷体" w:cs="楷体"/>
          <w:b/>
          <w:bCs/>
          <w:color w:val="auto"/>
          <w:sz w:val="32"/>
          <w:szCs w:val="32"/>
          <w:highlight w:val="none"/>
          <w:lang w:val="en-US" w:eastAsia="zh-CN"/>
        </w:rPr>
        <w:t>传统批发</w:t>
      </w:r>
      <w:r>
        <w:rPr>
          <w:rFonts w:hint="default" w:ascii="楷体" w:hAnsi="楷体" w:eastAsia="楷体" w:cs="楷体"/>
          <w:b/>
          <w:bCs/>
          <w:color w:val="auto"/>
          <w:sz w:val="32"/>
          <w:szCs w:val="32"/>
          <w:highlight w:val="none"/>
          <w:lang w:val="en-US" w:eastAsia="zh-CN"/>
        </w:rPr>
        <w:t>市场转型提升。</w:t>
      </w:r>
      <w:r>
        <w:rPr>
          <w:rFonts w:hint="default" w:ascii="Times New Roman" w:hAnsi="Times New Roman" w:eastAsia="仿宋_GB2312" w:cs="Times New Roman"/>
          <w:b w:val="0"/>
          <w:bCs w:val="0"/>
          <w:color w:val="auto"/>
          <w:sz w:val="32"/>
          <w:szCs w:val="32"/>
          <w:highlight w:val="none"/>
          <w:lang w:val="en-US" w:eastAsia="zh-CN"/>
        </w:rPr>
        <w:t>推动传统商品交易市场向综合性市场转型，以打造平台经济为目标，完善仓储、物流、支付等服务功能，巩固现有网络零售平台，创新发展社交领域电子商务平台，推动电子商务平台和产业集群融合发展，高水平培育线上线下融合、服务功能拓展、业态优化调整的开放化市场，鼓励二七塔周边的传统零售和火车站周边的批发市场通过综合性平台“走出去”，形成新型百货集散地。</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2、</w:t>
      </w:r>
      <w:r>
        <w:rPr>
          <w:rFonts w:hint="default" w:ascii="楷体" w:hAnsi="楷体" w:eastAsia="楷体" w:cs="楷体"/>
          <w:b/>
          <w:bCs/>
          <w:color w:val="auto"/>
          <w:sz w:val="32"/>
          <w:szCs w:val="32"/>
          <w:highlight w:val="none"/>
          <w:lang w:val="en-US" w:eastAsia="zh-CN"/>
        </w:rPr>
        <w:t>推进零售</w:t>
      </w:r>
      <w:r>
        <w:rPr>
          <w:rFonts w:hint="eastAsia" w:ascii="楷体" w:hAnsi="楷体" w:eastAsia="楷体" w:cs="楷体"/>
          <w:b/>
          <w:bCs/>
          <w:color w:val="auto"/>
          <w:sz w:val="32"/>
          <w:szCs w:val="32"/>
          <w:highlight w:val="none"/>
          <w:lang w:val="en-US" w:eastAsia="zh-CN"/>
        </w:rPr>
        <w:t>业</w:t>
      </w:r>
      <w:r>
        <w:rPr>
          <w:rFonts w:hint="default" w:ascii="楷体" w:hAnsi="楷体" w:eastAsia="楷体" w:cs="楷体"/>
          <w:b/>
          <w:bCs/>
          <w:color w:val="auto"/>
          <w:sz w:val="32"/>
          <w:szCs w:val="32"/>
          <w:highlight w:val="none"/>
          <w:lang w:val="en-US" w:eastAsia="zh-CN"/>
        </w:rPr>
        <w:t>创新发展。</w:t>
      </w:r>
      <w:r>
        <w:rPr>
          <w:rFonts w:hint="default" w:ascii="Times New Roman" w:hAnsi="Times New Roman" w:eastAsia="仿宋_GB2312" w:cs="Times New Roman"/>
          <w:b w:val="0"/>
          <w:bCs w:val="0"/>
          <w:color w:val="auto"/>
          <w:sz w:val="32"/>
          <w:szCs w:val="32"/>
          <w:highlight w:val="none"/>
          <w:lang w:val="en-US" w:eastAsia="zh-CN"/>
        </w:rPr>
        <w:t>大力发展“新零售”，根据消费群体细分市场，推动经营方式由商品销售为主向“商品+服务”并重转型，增强客户消费体验</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鼓励拓展线上业务，灵活运用互联网工具提升营销和服务水平，开展智能化、网络化的全渠道经营</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加快经营模式创新，发展连锁经营和自有品牌，实行深度联营和买手制经营</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鼓励线上线下优势企业通过战略合作、交叉持股、并购重组等多种形式整合市场资源，培育线上线下融合发展的新型市场主体。</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3、促进小微企业发展</w:t>
      </w:r>
      <w:r>
        <w:rPr>
          <w:rFonts w:hint="default" w:ascii="楷体" w:hAnsi="楷体" w:eastAsia="楷体" w:cs="楷体"/>
          <w:b/>
          <w:bCs/>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加强对行业中商贸小微企业培育，推动个体工商户转小微企业、小微企业升</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限上</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企业。强化小微企业孵化培育，组织经营专场培训，推动小微企业开展现代技术、现代金融</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双对接</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活动，培育一批具有影响力的批发零售业知名品牌，提升市场主体综合服务品质。</w:t>
      </w:r>
    </w:p>
    <w:p>
      <w:pPr>
        <w:keepNext w:val="0"/>
        <w:keepLines w:val="0"/>
        <w:pageBreakBefore w:val="0"/>
        <w:widowControl w:val="0"/>
        <w:numPr>
          <w:ilvl w:val="0"/>
          <w:numId w:val="0"/>
        </w:numPr>
        <w:wordWrap/>
        <w:bidi w:val="0"/>
        <w:snapToGrid/>
        <w:spacing w:line="560" w:lineRule="exact"/>
        <w:ind w:right="0" w:rightChars="0"/>
        <w:jc w:val="center"/>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黑体" w:hAnsi="黑体" w:eastAsia="黑体" w:cs="黑体"/>
          <w:b w:val="0"/>
          <w:bCs w:val="0"/>
          <w:color w:val="auto"/>
          <w:sz w:val="32"/>
          <w:szCs w:val="32"/>
          <w:highlight w:val="none"/>
          <w:lang w:val="en-US" w:eastAsia="zh-CN"/>
        </w:rPr>
        <w:t>第四章  重点任务</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推进实施市场主体培育、产业能级提升、载体平台建设、改革创新推进、重点项目攻坚、创新引领发展等六大工程，不断强化产业发展支撑体系，进一步提升产业综合竞争力。</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1、实施市场主体培育工程。</w:t>
      </w:r>
      <w:r>
        <w:rPr>
          <w:rFonts w:hint="default" w:ascii="Times New Roman" w:hAnsi="Times New Roman" w:eastAsia="仿宋_GB2312" w:cs="Times New Roman"/>
          <w:b w:val="0"/>
          <w:bCs w:val="0"/>
          <w:color w:val="auto"/>
          <w:sz w:val="32"/>
          <w:szCs w:val="32"/>
          <w:highlight w:val="none"/>
          <w:lang w:val="en-US" w:eastAsia="zh-CN"/>
        </w:rPr>
        <w:t>一是引进培育头部企业。实施“招大引强”计划，建立重点产业企业招商目录，瞄准“世界500强”、“中国500强”、“民营500强”企业，大型央企，组织专题招商，引进一批龙头企业总部、地区总部、分支机构、研发中心、采购中心、数据中心等。建立二七区重点产业企业名录，集中市场、技术、人才和资金等，“一企一策”重点扶持。支持产业关联度大、技术服务能力强的头部企业向平台型和供应链企业转型，带动上下游关联产业集聚发展。二是发展壮大中小企业。推进企业</w:t>
      </w:r>
      <w:r>
        <w:rPr>
          <w:rFonts w:hint="default" w:ascii="Times New Roman" w:hAnsi="Times New Roman" w:eastAsia="仿宋_GB2312" w:cs="Times New Roman"/>
          <w:b w:val="0"/>
          <w:bCs w:val="0"/>
          <w:color w:val="auto"/>
          <w:sz w:val="32"/>
          <w:szCs w:val="32"/>
          <w:highlight w:val="none"/>
          <w:lang w:val="en-US" w:eastAsia="zh-CN"/>
        </w:rPr>
        <w:t>“个转企”“小升规”</w:t>
      </w:r>
      <w:r>
        <w:rPr>
          <w:rFonts w:hint="default" w:ascii="Times New Roman" w:hAnsi="Times New Roman" w:eastAsia="仿宋_GB2312" w:cs="Times New Roman"/>
          <w:b w:val="0"/>
          <w:bCs w:val="0"/>
          <w:color w:val="auto"/>
          <w:sz w:val="32"/>
          <w:szCs w:val="32"/>
          <w:highlight w:val="none"/>
          <w:lang w:val="en-US" w:eastAsia="zh-CN"/>
        </w:rPr>
        <w:t>。支持中小企业聚焦主业，增强核心竞争力，培育一批主营业务突出、竞争力强、成长性好的“专精特新”企业。建立中小企业上市后备资源库，支持主业突出、运作规范的中小企业上市融资。三是扶持发展新兴主体。实施新业态成长计划，培育“新个体”。规范引导带货主播、网络红人、产业联盟、创意团队等企业化发展。鼓励商业银行推广线上线下融合的信贷服务，合理降低商户融资成本。健全分层孵化和成长培育机制，建立高成长性新兴产业企业种子库，纳入二七区产业基金重点投资范围予以大力扶持。</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2、</w:t>
      </w:r>
      <w:r>
        <w:rPr>
          <w:rFonts w:hint="default" w:ascii="楷体" w:hAnsi="楷体" w:eastAsia="楷体" w:cs="楷体"/>
          <w:b/>
          <w:bCs/>
          <w:color w:val="auto"/>
          <w:sz w:val="32"/>
          <w:szCs w:val="32"/>
          <w:highlight w:val="none"/>
          <w:lang w:val="en-US" w:eastAsia="zh-CN"/>
        </w:rPr>
        <w:t>实施产业能级提升工程。</w:t>
      </w:r>
      <w:r>
        <w:rPr>
          <w:rFonts w:hint="default" w:ascii="Times New Roman" w:hAnsi="Times New Roman" w:eastAsia="仿宋_GB2312" w:cs="Times New Roman"/>
          <w:b w:val="0"/>
          <w:bCs w:val="0"/>
          <w:color w:val="auto"/>
          <w:sz w:val="32"/>
          <w:szCs w:val="32"/>
          <w:highlight w:val="none"/>
          <w:lang w:val="en-US" w:eastAsia="zh-CN"/>
        </w:rPr>
        <w:t>一是完善企业质量评价</w:t>
      </w:r>
      <w:r>
        <w:rPr>
          <w:rFonts w:hint="default" w:ascii="Times New Roman" w:hAnsi="Times New Roman" w:eastAsia="仿宋_GB2312" w:cs="Times New Roman"/>
          <w:b w:val="0"/>
          <w:bCs w:val="0"/>
          <w:color w:val="auto"/>
          <w:sz w:val="32"/>
          <w:szCs w:val="32"/>
          <w:highlight w:val="none"/>
          <w:lang w:val="en-US" w:eastAsia="zh-CN"/>
        </w:rPr>
        <w:t>体系</w:t>
      </w:r>
      <w:r>
        <w:rPr>
          <w:rFonts w:hint="default" w:ascii="Times New Roman" w:hAnsi="Times New Roman" w:eastAsia="仿宋_GB2312" w:cs="Times New Roman"/>
          <w:b w:val="0"/>
          <w:bCs w:val="0"/>
          <w:color w:val="auto"/>
          <w:sz w:val="32"/>
          <w:szCs w:val="32"/>
          <w:highlight w:val="none"/>
          <w:lang w:val="en-US" w:eastAsia="zh-CN"/>
        </w:rPr>
        <w:t>。建立质量综合评价体系，开展企业质量认证，逐步完善质量监测机制，针对现代食品、装备制造、住宿餐饮、电商等产业领域加强质量监测。督促企业建立健全质量追溯体系，履行质量担保、售后服务等义务。加强质量问题信息共享和联合执法，发挥信用信息平台作用，建立健全质量失信惩戒机制和严重违法违规企业市场退出制度。二是提高企业标准化水平。实施企业标准化发展战略，鼓励行业协会和企业参与国际标准、国家标准、行业标准和地方标准的制定。三是培育二七本土品牌。推动行业协会、第三方机构开展企业品牌培育和塑造，研究建立品牌培育和评价体系。加强对主导产业企业的品牌孵化，培育形成一批拥有自主知识产权和核心竞争力的品牌企业，争创“中国质量奖”“中华老字号”等。</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3、</w:t>
      </w:r>
      <w:r>
        <w:rPr>
          <w:rFonts w:hint="default" w:ascii="楷体" w:hAnsi="楷体" w:eastAsia="楷体" w:cs="楷体"/>
          <w:b/>
          <w:bCs/>
          <w:color w:val="auto"/>
          <w:sz w:val="32"/>
          <w:szCs w:val="32"/>
          <w:highlight w:val="none"/>
          <w:lang w:val="en-US" w:eastAsia="zh-CN"/>
        </w:rPr>
        <w:t>实施载体平台建设工程。</w:t>
      </w:r>
      <w:r>
        <w:rPr>
          <w:rFonts w:hint="default" w:ascii="Times New Roman" w:hAnsi="Times New Roman" w:eastAsia="仿宋_GB2312" w:cs="Times New Roman"/>
          <w:b w:val="0"/>
          <w:bCs w:val="0"/>
          <w:color w:val="auto"/>
          <w:sz w:val="32"/>
          <w:szCs w:val="32"/>
          <w:highlight w:val="none"/>
          <w:lang w:val="en-US" w:eastAsia="zh-CN"/>
        </w:rPr>
        <w:t>一是推动产业园区提质升级。推进开发区“三化三制”改革纵深推进，鼓励采用市场化运作、公司化运营的</w:t>
      </w:r>
      <w:r>
        <w:rPr>
          <w:rFonts w:hint="eastAsia" w:ascii="Times New Roman" w:hAnsi="Times New Roman" w:cs="Times New Roman"/>
          <w:b w:val="0"/>
          <w:bCs w:val="0"/>
          <w:color w:val="auto"/>
          <w:sz w:val="32"/>
          <w:szCs w:val="32"/>
          <w:highlight w:val="none"/>
          <w:lang w:val="en-US" w:eastAsia="zh-CN"/>
        </w:rPr>
        <w:t>管</w:t>
      </w:r>
      <w:r>
        <w:rPr>
          <w:rFonts w:hint="default" w:ascii="Times New Roman" w:hAnsi="Times New Roman" w:eastAsia="仿宋_GB2312" w:cs="Times New Roman"/>
          <w:b w:val="0"/>
          <w:bCs w:val="0"/>
          <w:color w:val="auto"/>
          <w:sz w:val="32"/>
          <w:szCs w:val="32"/>
          <w:highlight w:val="none"/>
          <w:lang w:val="en-US" w:eastAsia="zh-CN"/>
        </w:rPr>
        <w:t>理方式</w:t>
      </w:r>
      <w:r>
        <w:rPr>
          <w:rFonts w:hint="default" w:ascii="Times New Roman" w:hAnsi="Times New Roman" w:eastAsia="仿宋_GB2312" w:cs="Times New Roman"/>
          <w:b w:val="0"/>
          <w:bCs w:val="0"/>
          <w:color w:val="auto"/>
          <w:sz w:val="32"/>
          <w:szCs w:val="32"/>
          <w:highlight w:val="none"/>
          <w:lang w:val="en-US" w:eastAsia="zh-CN"/>
        </w:rPr>
        <w:t>，强化开发区招商引资、项目推进、平台建设等功能。围绕开发区主导产业发展的共性需求，完善投融资、企业孵化、人才培训、会计审计服务等综合性公共服务平台功能，加强技术交易、检验检测、物流配送等专业化平台建设，构建多元化开发区公共服务平台体系。二是加快小微产业园建设。围绕引导健康服务、精密制造、智能制造、现代物流等主导产业专业化、特色化、集群化发展，谋划布局一批小微产业园项目。着力抓好园区规划定位，推动管理模式创新，畅通资金、人才、技术等要素循环，加快主导产业集群式发展。三是发展楼宇经济和总部经济。重点围绕大学路、嵩山路、京广路及特色商业区等，大力发展以健康服务、医疗器械、金融、商务、信息等为代表的特色楼宇经济，吸引一批主导产业总部企业入驻。</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4、</w:t>
      </w:r>
      <w:r>
        <w:rPr>
          <w:rFonts w:hint="default" w:ascii="楷体" w:hAnsi="楷体" w:eastAsia="楷体" w:cs="楷体"/>
          <w:b/>
          <w:bCs/>
          <w:color w:val="auto"/>
          <w:sz w:val="32"/>
          <w:szCs w:val="32"/>
          <w:highlight w:val="none"/>
          <w:lang w:val="en-US" w:eastAsia="zh-CN"/>
        </w:rPr>
        <w:t>实施改革创新推进工程。</w:t>
      </w:r>
      <w:r>
        <w:rPr>
          <w:rFonts w:hint="default" w:ascii="Times New Roman" w:hAnsi="Times New Roman" w:eastAsia="仿宋_GB2312" w:cs="Times New Roman"/>
          <w:b w:val="0"/>
          <w:bCs w:val="0"/>
          <w:color w:val="auto"/>
          <w:sz w:val="32"/>
          <w:szCs w:val="32"/>
          <w:highlight w:val="none"/>
          <w:lang w:val="en-US" w:eastAsia="zh-CN"/>
        </w:rPr>
        <w:t>一是深化改革全面优化营商环境。落实统一的市场准入负面清单制度，全面清理各类显性和隐性壁垒，建立公平统一、竞争有序的市场。持续推进“一件事一次办”和商事制度改革，加快政务服务标准化、规范化、便利化发展。二是建立高效流动要素配置机制。鼓励各类银行机构、创业投资机构、融资担保再担保机构支持主导产业企业发展。加强银企合作，支持政府性融资担保机构为中小企业发债提供增信服务。依托“互联网+政务服务”一体化平台，建立健全数据开放、共享、交换的协调机制，完善基础数据库，推进政府数据开放共享。三是构建诚信监管体系。完善以“双随机、一公开”监管和“互联网+监管”为基本手段、以重点监管为补充、以信用监管为基础、以智慧监管为支撑的新型监管机制。全面推行信用监管，完善新业态信用体系，建立健全市场主体信用记录，实施市场主体信用风险分类监管。</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5、</w:t>
      </w:r>
      <w:r>
        <w:rPr>
          <w:rFonts w:hint="default" w:ascii="楷体" w:hAnsi="楷体" w:eastAsia="楷体" w:cs="楷体"/>
          <w:b/>
          <w:bCs/>
          <w:color w:val="auto"/>
          <w:sz w:val="32"/>
          <w:szCs w:val="32"/>
          <w:highlight w:val="none"/>
          <w:lang w:val="en-US" w:eastAsia="zh-CN"/>
        </w:rPr>
        <w:t>实施重点项目攻坚工程。</w:t>
      </w:r>
      <w:r>
        <w:rPr>
          <w:rFonts w:hint="default" w:ascii="Times New Roman" w:hAnsi="Times New Roman" w:eastAsia="仿宋_GB2312" w:cs="Times New Roman"/>
          <w:b w:val="0"/>
          <w:bCs w:val="0"/>
          <w:color w:val="auto"/>
          <w:sz w:val="32"/>
          <w:szCs w:val="32"/>
          <w:highlight w:val="none"/>
          <w:lang w:val="en-US" w:eastAsia="zh-CN"/>
        </w:rPr>
        <w:t>一是抓好主导产业项目谋划布局。坚持数量规模与质量效益并重，既要抓“无中生有”，强化电子信息、医疗康养、数字经济、新能源、新材料等重点产业链招商；更要抓“有中生优”，充分考虑资源禀赋、区位优势、产业基础和区域分工等因素，围绕重点产业及产业链上下游，推进以商招商、产业链招商，积极引入符合区域长远发展的优质项目，形成产业集聚。二是完善项目推进机制。建立产业项目动态管理库，落实好领导包联、专责推进、专班服务、全程跟踪、督促督办等机制，全力破解项目建设资金、拆迁规划等要素制约，明确责任、倒排工期，加压奋进、强力攻坚，以项目建设成效推动投资增长和产业优化，不断夯实经济高质量发展的“压舱石”。</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6、</w:t>
      </w:r>
      <w:r>
        <w:rPr>
          <w:rFonts w:hint="default" w:ascii="楷体" w:hAnsi="楷体" w:eastAsia="楷体" w:cs="楷体"/>
          <w:b/>
          <w:bCs/>
          <w:color w:val="auto"/>
          <w:sz w:val="32"/>
          <w:szCs w:val="32"/>
          <w:highlight w:val="none"/>
          <w:lang w:val="en-US" w:eastAsia="zh-CN"/>
        </w:rPr>
        <w:t>实施创新引领发展工程。</w:t>
      </w:r>
      <w:r>
        <w:rPr>
          <w:rFonts w:hint="default" w:ascii="Times New Roman" w:hAnsi="Times New Roman" w:eastAsia="仿宋_GB2312" w:cs="Times New Roman"/>
          <w:b w:val="0"/>
          <w:bCs w:val="0"/>
          <w:color w:val="auto"/>
          <w:sz w:val="32"/>
          <w:szCs w:val="32"/>
          <w:highlight w:val="none"/>
          <w:lang w:val="en-US" w:eastAsia="zh-CN"/>
        </w:rPr>
        <w:t>一是依托高校双创优势，打造全新产学研一体发展新体系，以黄河科技学院等一批优秀的高校科研院所的双创平台为依托，发挥创新创业在发展新经济、培育发展新动能、打造发展新引擎中的引领支撑作用，统筹支持国家和省级大众创业、万众创新基地建设，推动大众创业万众创新向纵深发展。着力打造一批资源要素集聚、服务功能完善、创新创业活跃、辐射带动力强的双创基地。二是结合当前经济新常态的时代背景，产、政、学、研融合发展的新要求，打造一条全链条创新创业生态体系。大力支持高校和科研团队组建一批“校内+校外+校友”三位一体的导师团队。三是设立政府创新引导基金，强化创新合作，工商、税务、融资等“一站式”服务，着力培育和打造一批多层次</w:t>
      </w:r>
      <w:r>
        <w:rPr>
          <w:rFonts w:hint="eastAsia" w:ascii="Times New Roman" w:hAnsi="Times New Roman"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sz w:val="32"/>
          <w:szCs w:val="32"/>
          <w:highlight w:val="none"/>
          <w:lang w:val="en-US" w:eastAsia="zh-CN"/>
        </w:rPr>
        <w:t>创客工作室、众创空间、孵化器、加速器等低、中、高端的满足不同需求的发展空间和平台，力争在较短时间内实现和达到一批国家级或省部级“科技企业孵化器”，</w:t>
      </w:r>
      <w:r>
        <w:rPr>
          <w:rFonts w:hint="default" w:ascii="Times New Roman" w:hAnsi="Times New Roman" w:eastAsia="仿宋_GB2312" w:cs="Times New Roman"/>
          <w:b w:val="0"/>
          <w:bCs w:val="0"/>
          <w:color w:val="auto"/>
          <w:sz w:val="32"/>
          <w:szCs w:val="32"/>
          <w:highlight w:val="none"/>
          <w:lang w:val="en-US" w:eastAsia="zh-CN"/>
        </w:rPr>
        <w:t>“众创空间”</w:t>
      </w:r>
      <w:r>
        <w:rPr>
          <w:rFonts w:hint="default" w:ascii="Times New Roman" w:hAnsi="Times New Roman" w:eastAsia="仿宋_GB2312" w:cs="Times New Roman"/>
          <w:b w:val="0"/>
          <w:bCs w:val="0"/>
          <w:color w:val="auto"/>
          <w:sz w:val="32"/>
          <w:szCs w:val="32"/>
          <w:highlight w:val="none"/>
          <w:lang w:val="en-US" w:eastAsia="zh-CN"/>
        </w:rPr>
        <w:t>等荣誉称号，提升吸引高端人才的力度和质量，真正实现产（产业），政（政府），学（高校教育），研（创新研发）的一体发展新体系。</w:t>
      </w:r>
    </w:p>
    <w:p>
      <w:pPr>
        <w:keepNext w:val="0"/>
        <w:keepLines w:val="0"/>
        <w:pageBreakBefore w:val="0"/>
        <w:widowControl w:val="0"/>
        <w:numPr>
          <w:ilvl w:val="0"/>
          <w:numId w:val="0"/>
        </w:numPr>
        <w:wordWrap/>
        <w:bidi w:val="0"/>
        <w:snapToGrid/>
        <w:spacing w:line="560" w:lineRule="exact"/>
        <w:ind w:right="0" w:rightChars="0"/>
        <w:jc w:val="center"/>
        <w:textAlignment w:val="auto"/>
        <w:rPr>
          <w:rFonts w:hint="default" w:ascii="黑体" w:hAnsi="黑体" w:eastAsia="黑体" w:cs="黑体"/>
          <w:b w:val="0"/>
          <w:bCs w:val="0"/>
          <w:color w:val="auto"/>
          <w:sz w:val="32"/>
          <w:szCs w:val="32"/>
          <w:highlight w:val="none"/>
          <w:lang w:val="en-US" w:eastAsia="zh-CN"/>
        </w:rPr>
      </w:pPr>
      <w:r>
        <w:rPr>
          <w:rFonts w:hint="default" w:ascii="黑体" w:hAnsi="黑体" w:eastAsia="黑体" w:cs="黑体"/>
          <w:b w:val="0"/>
          <w:bCs w:val="0"/>
          <w:color w:val="auto"/>
          <w:sz w:val="32"/>
          <w:szCs w:val="32"/>
          <w:highlight w:val="none"/>
          <w:lang w:val="en-US" w:eastAsia="zh-CN"/>
        </w:rPr>
        <w:t>第五章 保障措施</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充分发挥规划对二七区产业发展的统领作用，全面加强规划组织实施和统筹协调，持续健全保障规划实施的长效机制，确保规划实施取得明显成效。</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1、加强组织领导。</w:t>
      </w:r>
      <w:r>
        <w:rPr>
          <w:rFonts w:hint="default" w:ascii="Times New Roman" w:hAnsi="Times New Roman" w:eastAsia="仿宋_GB2312" w:cs="Times New Roman"/>
          <w:b w:val="0"/>
          <w:bCs w:val="0"/>
          <w:color w:val="auto"/>
          <w:sz w:val="32"/>
          <w:szCs w:val="32"/>
          <w:highlight w:val="none"/>
          <w:lang w:val="en-US" w:eastAsia="zh-CN"/>
        </w:rPr>
        <w:t>建立完善相互支持、密切协作、运转顺畅的工作机制，确保规划目标任务有序落实。区政府各有关部门、各街道（管委会）按照规划要求，建立规划实施方案，对重点任务进行详细分解，逐级落实明确责任。建立部门协同推进机制，加强有关部门、街道之间的沟通与协调，形成工作合力。完善规划评估工作，加大绩效考核力度，针对本规划实施情况及存在问题，适时组织开展规划实施情况评估。</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2</w:t>
      </w:r>
      <w:r>
        <w:rPr>
          <w:rFonts w:hint="default" w:ascii="楷体_GB2312" w:hAnsi="楷体_GB2312" w:eastAsia="楷体_GB2312" w:cs="楷体_GB2312"/>
          <w:b/>
          <w:bCs/>
          <w:color w:val="auto"/>
          <w:sz w:val="32"/>
          <w:szCs w:val="32"/>
          <w:highlight w:val="none"/>
          <w:lang w:val="en-US" w:eastAsia="zh-CN"/>
        </w:rPr>
        <w:t>、整合优质资源。</w:t>
      </w:r>
      <w:r>
        <w:rPr>
          <w:rFonts w:hint="default" w:ascii="Times New Roman" w:hAnsi="Times New Roman" w:eastAsia="仿宋_GB2312" w:cs="Times New Roman"/>
          <w:b w:val="0"/>
          <w:bCs w:val="0"/>
          <w:color w:val="auto"/>
          <w:sz w:val="32"/>
          <w:szCs w:val="32"/>
          <w:highlight w:val="none"/>
          <w:lang w:val="en-US" w:eastAsia="zh-CN"/>
        </w:rPr>
        <w:t>充分发挥区内高校、科研院所、行业协会、重点企业智力资源优势，加强交流与合作。强化数据获取、分析和运用能力，提升政府治理效能。借助大数据技术，加强对二七区产业发展的监测分析，精准掌握二七区产业发展新趋势和新特点。探索建立相应的统计指标体系和绩效评价体系，加强产业关键数据的统计、监测、分析和发布，实现数据资源的整合与共享。</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3</w:t>
      </w:r>
      <w:r>
        <w:rPr>
          <w:rFonts w:hint="default" w:ascii="楷体_GB2312" w:hAnsi="楷体_GB2312" w:eastAsia="楷体_GB2312" w:cs="楷体_GB2312"/>
          <w:b/>
          <w:bCs/>
          <w:color w:val="auto"/>
          <w:sz w:val="32"/>
          <w:szCs w:val="32"/>
          <w:highlight w:val="none"/>
          <w:lang w:val="en-US" w:eastAsia="zh-CN"/>
        </w:rPr>
        <w:t>、完善体制机制。</w:t>
      </w:r>
      <w:r>
        <w:rPr>
          <w:rFonts w:hint="default" w:ascii="Times New Roman" w:hAnsi="Times New Roman" w:eastAsia="仿宋_GB2312" w:cs="Times New Roman"/>
          <w:b w:val="0"/>
          <w:bCs w:val="0"/>
          <w:color w:val="auto"/>
          <w:sz w:val="32"/>
          <w:szCs w:val="32"/>
          <w:highlight w:val="none"/>
          <w:lang w:val="en-US" w:eastAsia="zh-CN"/>
        </w:rPr>
        <w:t>以“18+3+1”完善区域发展体制。一是发挥好18个办事处的支撑作用。做好优质服务，结合各自辖区特色和定位，积极主动融入全区发展的大局。二是发挥好3个管委会的平台作用。结合当前实际，充分发挥管委会招商引资、企业服务、引进人才、发展经济的职能。三是</w:t>
      </w:r>
      <w:r>
        <w:rPr>
          <w:rFonts w:hint="eastAsia" w:ascii="Times New Roman" w:hAnsi="Times New Roman" w:cs="Times New Roman"/>
          <w:b w:val="0"/>
          <w:bCs w:val="0"/>
          <w:color w:val="auto"/>
          <w:sz w:val="32"/>
          <w:szCs w:val="32"/>
          <w:highlight w:val="none"/>
          <w:lang w:val="en-US" w:eastAsia="zh-CN"/>
        </w:rPr>
        <w:t>做大做强</w:t>
      </w:r>
      <w:r>
        <w:rPr>
          <w:rFonts w:hint="default" w:ascii="Times New Roman" w:hAnsi="Times New Roman" w:eastAsia="仿宋_GB2312" w:cs="Times New Roman"/>
          <w:b w:val="0"/>
          <w:bCs w:val="0"/>
          <w:color w:val="auto"/>
          <w:sz w:val="32"/>
          <w:szCs w:val="32"/>
          <w:highlight w:val="none"/>
          <w:lang w:val="en-US" w:eastAsia="zh-CN"/>
        </w:rPr>
        <w:t>1个区级平台公司</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增强可持续发展能力。加快建立完善现代企业制度，提高战略管理和风险控制能力，进一步完善融资功能、着力解决资金和融资问题。</w:t>
      </w:r>
    </w:p>
    <w:p>
      <w:pPr>
        <w:pStyle w:val="3"/>
        <w:keepNext w:val="0"/>
        <w:keepLines w:val="0"/>
        <w:pageBreakBefore w:val="0"/>
        <w:widowControl w:val="0"/>
        <w:kinsoku/>
        <w:wordWrap/>
        <w:overflowPunct/>
        <w:topLinePunct/>
        <w:autoSpaceDE/>
        <w:autoSpaceDN/>
        <w:bidi w:val="0"/>
        <w:adjustRightInd/>
        <w:snapToGrid/>
        <w:spacing w:beforeLines="0" w:afterLines="0" w:line="560" w:lineRule="exact"/>
        <w:ind w:left="0" w:right="0" w:firstLine="643" w:firstLineChars="200"/>
        <w:jc w:val="both"/>
        <w:textAlignment w:val="auto"/>
        <w:outlineLvl w:val="0"/>
        <w:rPr>
          <w:rFonts w:hint="default" w:ascii="Times New Roman" w:hAnsi="Times New Roman" w:eastAsia="仿宋_GB2312" w:cs="Times New Roman"/>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4</w:t>
      </w:r>
      <w:r>
        <w:rPr>
          <w:rFonts w:hint="default" w:ascii="楷体_GB2312" w:hAnsi="楷体_GB2312" w:eastAsia="楷体_GB2312" w:cs="楷体_GB2312"/>
          <w:b/>
          <w:bCs/>
          <w:color w:val="auto"/>
          <w:sz w:val="32"/>
          <w:szCs w:val="32"/>
          <w:highlight w:val="none"/>
          <w:lang w:val="en-US" w:eastAsia="zh-CN"/>
        </w:rPr>
        <w:t>、强化要素保障。</w:t>
      </w:r>
      <w:r>
        <w:rPr>
          <w:rFonts w:hint="default" w:ascii="Times New Roman" w:hAnsi="Times New Roman" w:eastAsia="仿宋_GB2312" w:cs="Times New Roman"/>
          <w:b w:val="0"/>
          <w:bCs w:val="0"/>
          <w:color w:val="auto"/>
          <w:sz w:val="32"/>
          <w:szCs w:val="32"/>
          <w:highlight w:val="none"/>
          <w:lang w:val="en-US" w:eastAsia="zh-CN"/>
        </w:rPr>
        <w:t>综合运用多种财政方式，加大对现代化产业体系建设的支持力度；发挥产业引导基金作用，支持核心产业企业发展；严格落实各类税费减免政策，切实降低企业运营成本；全面推行“标准地”出让、“拿地即开工”的</w:t>
      </w:r>
      <w:r>
        <w:rPr>
          <w:rFonts w:hint="default" w:ascii="Times New Roman" w:hAnsi="Times New Roman" w:eastAsia="仿宋_GB2312" w:cs="Times New Roman"/>
          <w:b w:val="0"/>
          <w:bCs w:val="0"/>
          <w:color w:val="auto"/>
          <w:sz w:val="32"/>
          <w:szCs w:val="32"/>
          <w:highlight w:val="none"/>
          <w:lang w:val="en-US" w:eastAsia="zh-CN"/>
        </w:rPr>
        <w:t>土地</w:t>
      </w:r>
      <w:r>
        <w:rPr>
          <w:rFonts w:hint="default" w:ascii="Times New Roman" w:hAnsi="Times New Roman" w:eastAsia="仿宋_GB2312" w:cs="Times New Roman"/>
          <w:b w:val="0"/>
          <w:bCs w:val="0"/>
          <w:color w:val="auto"/>
          <w:sz w:val="32"/>
          <w:szCs w:val="32"/>
          <w:highlight w:val="none"/>
          <w:lang w:val="en-US" w:eastAsia="zh-CN"/>
        </w:rPr>
        <w:t>保障模式；持续推进“放管服效”改革，实现政务服务事项“即来即办”、一枚印章管审批等政务改革，简政放权、在线惠企，</w:t>
      </w:r>
      <w:r>
        <w:rPr>
          <w:rFonts w:hint="eastAsia" w:ascii="Times New Roman" w:hAnsi="Times New Roman" w:cs="Times New Roman"/>
          <w:b w:val="0"/>
          <w:bCs w:val="0"/>
          <w:color w:val="auto"/>
          <w:sz w:val="32"/>
          <w:szCs w:val="32"/>
          <w:highlight w:val="none"/>
          <w:lang w:val="en-US" w:eastAsia="zh-CN"/>
        </w:rPr>
        <w:t>提</w:t>
      </w:r>
      <w:r>
        <w:rPr>
          <w:rFonts w:hint="default" w:ascii="Times New Roman" w:hAnsi="Times New Roman" w:eastAsia="仿宋_GB2312" w:cs="Times New Roman"/>
          <w:b w:val="0"/>
          <w:bCs w:val="0"/>
          <w:color w:val="auto"/>
          <w:sz w:val="32"/>
          <w:szCs w:val="32"/>
          <w:highlight w:val="none"/>
          <w:lang w:val="en-US" w:eastAsia="zh-CN"/>
        </w:rPr>
        <w:t>高</w:t>
      </w:r>
      <w:r>
        <w:rPr>
          <w:rFonts w:hint="default" w:ascii="Times New Roman" w:hAnsi="Times New Roman" w:eastAsia="仿宋_GB2312" w:cs="Times New Roman"/>
          <w:b w:val="0"/>
          <w:bCs w:val="0"/>
          <w:color w:val="auto"/>
          <w:sz w:val="32"/>
          <w:szCs w:val="32"/>
          <w:highlight w:val="none"/>
          <w:lang w:val="en-US" w:eastAsia="zh-CN"/>
        </w:rPr>
        <w:t>服务质效；成立“二七区人才科创公司”，整合人才引进、科技创新等生产要素，为产业发展储备人才资源。</w:t>
      </w:r>
    </w:p>
    <w:sectPr>
      <w:footerReference r:id="rId4" w:type="default"/>
      <w:pgSz w:w="11906" w:h="16838"/>
      <w:pgMar w:top="1701" w:right="1587" w:bottom="1587" w:left="1587" w:header="851" w:footer="992" w:gutter="0"/>
      <w:pgNumType w:fmt="decimal"/>
      <w:cols w:space="0" w:num="1"/>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pip-common">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szCs w:val="24"/>
      </w:rPr>
    </w:pPr>
    <w:r>
      <w:rPr>
        <w:rFonts w:hint="eastAsia"/>
        <w:sz w:val="32"/>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9816465</wp:posOffset>
              </wp:positionV>
              <wp:extent cx="471170" cy="2032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71170" cy="203200"/>
                      </a:xfrm>
                      <a:prstGeom prst="rect">
                        <a:avLst/>
                      </a:prstGeom>
                      <a:noFill/>
                      <a:ln>
                        <a:noFill/>
                      </a:ln>
                    </wps:spPr>
                    <wps:txbx>
                      <w:txbxContent>
                        <w:p>
                          <w:pPr>
                            <w:kinsoku w:val="0"/>
                            <w:overflowPunct w:val="0"/>
                            <w:spacing w:beforeLines="0" w:afterLines="0" w:line="301" w:lineRule="exact"/>
                            <w:ind w:left="20"/>
                            <w:rPr>
                              <w:rFonts w:hint="eastAsia" w:ascii="宋体" w:hAnsi="宋体" w:eastAsia="宋体"/>
                              <w:sz w:val="28"/>
                              <w:szCs w:val="24"/>
                            </w:rPr>
                          </w:pPr>
                          <w:r>
                            <w:rPr>
                              <w:rFonts w:hint="eastAsia" w:ascii="宋体" w:hAnsi="宋体" w:eastAsia="宋体"/>
                              <w:spacing w:val="1"/>
                              <w:sz w:val="28"/>
                              <w:szCs w:val="24"/>
                            </w:rPr>
                            <w:t>-</w:t>
                          </w:r>
                          <w:r>
                            <w:rPr>
                              <w:rFonts w:hint="eastAsia" w:ascii="宋体" w:hAnsi="宋体" w:eastAsia="宋体"/>
                              <w:spacing w:val="-2"/>
                              <w:sz w:val="28"/>
                              <w:szCs w:val="24"/>
                            </w:rPr>
                            <w:t xml:space="preserve"> </w:t>
                          </w:r>
                          <w:r>
                            <w:rPr>
                              <w:rFonts w:hint="eastAsia" w:ascii="宋体" w:hAnsi="宋体" w:eastAsia="宋体"/>
                              <w:sz w:val="28"/>
                              <w:szCs w:val="24"/>
                            </w:rPr>
                            <w:fldChar w:fldCharType="begin"/>
                          </w:r>
                          <w:r>
                            <w:rPr>
                              <w:rFonts w:hint="eastAsia" w:ascii="宋体" w:hAnsi="宋体" w:eastAsia="宋体"/>
                              <w:sz w:val="28"/>
                              <w:szCs w:val="24"/>
                            </w:rPr>
                            <w:instrText xml:space="preserve"> PAGE </w:instrText>
                          </w:r>
                          <w:r>
                            <w:rPr>
                              <w:rFonts w:hint="eastAsia" w:ascii="宋体" w:hAnsi="宋体" w:eastAsia="宋体"/>
                              <w:sz w:val="28"/>
                              <w:szCs w:val="24"/>
                            </w:rPr>
                            <w:fldChar w:fldCharType="separate"/>
                          </w:r>
                          <w:r>
                            <w:rPr>
                              <w:rFonts w:hint="eastAsia" w:ascii="宋体" w:hAnsi="宋体" w:eastAsia="宋体"/>
                              <w:sz w:val="28"/>
                              <w:szCs w:val="24"/>
                            </w:rPr>
                            <w:fldChar w:fldCharType="end"/>
                          </w:r>
                          <w:r>
                            <w:rPr>
                              <w:rFonts w:hint="eastAsia" w:ascii="宋体" w:hAnsi="宋体" w:eastAsia="宋体"/>
                              <w:spacing w:val="1"/>
                              <w:sz w:val="28"/>
                              <w:szCs w:val="24"/>
                            </w:rPr>
                            <w:t xml:space="preserve"> </w:t>
                          </w:r>
                          <w:r>
                            <w:rPr>
                              <w:rFonts w:hint="eastAsia" w:ascii="宋体" w:hAnsi="宋体" w:eastAsia="宋体"/>
                              <w:sz w:val="28"/>
                              <w:szCs w:val="24"/>
                            </w:rPr>
                            <w:t>-</w:t>
                          </w:r>
                        </w:p>
                      </w:txbxContent>
                    </wps:txbx>
                    <wps:bodyPr lIns="0" tIns="0" rIns="0" bIns="0" upright="1"/>
                  </wps:wsp>
                </a:graphicData>
              </a:graphic>
            </wp:anchor>
          </w:drawing>
        </mc:Choice>
        <mc:Fallback>
          <w:pict>
            <v:shape id="_x0000_s1026" o:spid="_x0000_s1026" o:spt="202" type="#_x0000_t202" style="position:absolute;left:0pt;margin-top:772.95pt;height:16pt;width:37.1pt;mso-position-horizontal:outside;mso-position-horizontal-relative:margin;mso-position-vertical-relative:page;z-index:251659264;mso-width-relative:page;mso-height-relative:page;" filled="f" stroked="f" coordsize="21600,21600" o:gfxdata="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mGPkdgAAAAJAQAADwAAAAAAAAABACAAAAAiAAAAZHJzL2Rvd25yZXYueG1sUEsBAhQA&#10;FAAAAAgAh07iQONE1TK5AQAAcQMAAA4AAAAAAAAAAQAgAAAAJwEAAGRycy9lMm9Eb2MueG1sUEsF&#10;BgAAAAAGAAYAWQEAAFIFAAAAAA==&#10;">
              <v:fill on="f" focussize="0,0"/>
              <v:stroke on="f"/>
              <v:imagedata o:title=""/>
              <o:lock v:ext="edit" aspectratio="f"/>
              <v:textbox inset="0mm,0mm,0mm,0mm">
                <w:txbxContent>
                  <w:p>
                    <w:pPr>
                      <w:kinsoku w:val="0"/>
                      <w:overflowPunct w:val="0"/>
                      <w:spacing w:beforeLines="0" w:afterLines="0" w:line="301" w:lineRule="exact"/>
                      <w:ind w:left="20"/>
                      <w:rPr>
                        <w:rFonts w:hint="eastAsia" w:ascii="宋体" w:hAnsi="宋体" w:eastAsia="宋体"/>
                        <w:sz w:val="28"/>
                        <w:szCs w:val="24"/>
                      </w:rPr>
                    </w:pPr>
                    <w:r>
                      <w:rPr>
                        <w:rFonts w:hint="eastAsia" w:ascii="宋体" w:hAnsi="宋体" w:eastAsia="宋体"/>
                        <w:spacing w:val="1"/>
                        <w:sz w:val="28"/>
                        <w:szCs w:val="24"/>
                      </w:rPr>
                      <w:t>-</w:t>
                    </w:r>
                    <w:r>
                      <w:rPr>
                        <w:rFonts w:hint="eastAsia" w:ascii="宋体" w:hAnsi="宋体" w:eastAsia="宋体"/>
                        <w:spacing w:val="-2"/>
                        <w:sz w:val="28"/>
                        <w:szCs w:val="24"/>
                      </w:rPr>
                      <w:t xml:space="preserve"> </w:t>
                    </w:r>
                    <w:r>
                      <w:rPr>
                        <w:rFonts w:hint="eastAsia" w:ascii="宋体" w:hAnsi="宋体" w:eastAsia="宋体"/>
                        <w:sz w:val="28"/>
                        <w:szCs w:val="24"/>
                      </w:rPr>
                      <w:fldChar w:fldCharType="begin"/>
                    </w:r>
                    <w:r>
                      <w:rPr>
                        <w:rFonts w:hint="eastAsia" w:ascii="宋体" w:hAnsi="宋体" w:eastAsia="宋体"/>
                        <w:sz w:val="28"/>
                        <w:szCs w:val="24"/>
                      </w:rPr>
                      <w:instrText xml:space="preserve"> PAGE </w:instrText>
                    </w:r>
                    <w:r>
                      <w:rPr>
                        <w:rFonts w:hint="eastAsia" w:ascii="宋体" w:hAnsi="宋体" w:eastAsia="宋体"/>
                        <w:sz w:val="28"/>
                        <w:szCs w:val="24"/>
                      </w:rPr>
                      <w:fldChar w:fldCharType="separate"/>
                    </w:r>
                    <w:r>
                      <w:rPr>
                        <w:rFonts w:hint="eastAsia" w:ascii="宋体" w:hAnsi="宋体" w:eastAsia="宋体"/>
                        <w:sz w:val="28"/>
                        <w:szCs w:val="24"/>
                      </w:rPr>
                      <w:fldChar w:fldCharType="end"/>
                    </w:r>
                    <w:r>
                      <w:rPr>
                        <w:rFonts w:hint="eastAsia" w:ascii="宋体" w:hAnsi="宋体" w:eastAsia="宋体"/>
                        <w:spacing w:val="1"/>
                        <w:sz w:val="28"/>
                        <w:szCs w:val="24"/>
                      </w:rPr>
                      <w:t xml:space="preserve"> </w:t>
                    </w:r>
                    <w:r>
                      <w:rPr>
                        <w:rFonts w:hint="eastAsia" w:ascii="宋体" w:hAnsi="宋体" w:eastAsia="宋体"/>
                        <w:sz w:val="28"/>
                        <w:szCs w:val="2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65"/>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NjEwNjVjOGMxZmY4YzM3ODA2NzhiY2RjMzFmYWMifQ=="/>
    <w:docVar w:name="KSO_WPS_MARK_KEY" w:val="2746316d-8445-4ca4-a2ef-53895fe68e0b"/>
  </w:docVars>
  <w:rsids>
    <w:rsidRoot w:val="32FF6B16"/>
    <w:rsid w:val="001B223C"/>
    <w:rsid w:val="003752C8"/>
    <w:rsid w:val="00626B82"/>
    <w:rsid w:val="00BE7797"/>
    <w:rsid w:val="00E6284A"/>
    <w:rsid w:val="01153D99"/>
    <w:rsid w:val="014E1226"/>
    <w:rsid w:val="015457FE"/>
    <w:rsid w:val="01625695"/>
    <w:rsid w:val="01635C49"/>
    <w:rsid w:val="0168700A"/>
    <w:rsid w:val="0179546C"/>
    <w:rsid w:val="01C23E7C"/>
    <w:rsid w:val="01D55085"/>
    <w:rsid w:val="01F03ECC"/>
    <w:rsid w:val="02313F99"/>
    <w:rsid w:val="02772F9A"/>
    <w:rsid w:val="02825959"/>
    <w:rsid w:val="02881E0B"/>
    <w:rsid w:val="029167E5"/>
    <w:rsid w:val="02A14C7A"/>
    <w:rsid w:val="02C866AB"/>
    <w:rsid w:val="02DC5CB3"/>
    <w:rsid w:val="02E50728"/>
    <w:rsid w:val="02E80AFB"/>
    <w:rsid w:val="03215DBB"/>
    <w:rsid w:val="03253AFD"/>
    <w:rsid w:val="034F11C2"/>
    <w:rsid w:val="03525F75"/>
    <w:rsid w:val="03DD7F34"/>
    <w:rsid w:val="0415162B"/>
    <w:rsid w:val="041F054D"/>
    <w:rsid w:val="04207E21"/>
    <w:rsid w:val="042949E8"/>
    <w:rsid w:val="043A35D9"/>
    <w:rsid w:val="047343F5"/>
    <w:rsid w:val="05177476"/>
    <w:rsid w:val="055661F0"/>
    <w:rsid w:val="05761F9D"/>
    <w:rsid w:val="05816FE5"/>
    <w:rsid w:val="05CD03AF"/>
    <w:rsid w:val="05E54D09"/>
    <w:rsid w:val="0600615C"/>
    <w:rsid w:val="06532AC3"/>
    <w:rsid w:val="06694317"/>
    <w:rsid w:val="067122D7"/>
    <w:rsid w:val="069074E0"/>
    <w:rsid w:val="06DF5D71"/>
    <w:rsid w:val="06F85085"/>
    <w:rsid w:val="07397B77"/>
    <w:rsid w:val="074D717F"/>
    <w:rsid w:val="07577FFE"/>
    <w:rsid w:val="07C02047"/>
    <w:rsid w:val="0825549A"/>
    <w:rsid w:val="082815D4"/>
    <w:rsid w:val="08404F36"/>
    <w:rsid w:val="087251E8"/>
    <w:rsid w:val="08DC174E"/>
    <w:rsid w:val="08DF5C89"/>
    <w:rsid w:val="098350DA"/>
    <w:rsid w:val="09C01876"/>
    <w:rsid w:val="0A0D21C8"/>
    <w:rsid w:val="0A7464E2"/>
    <w:rsid w:val="0AD70568"/>
    <w:rsid w:val="0ADE5D3C"/>
    <w:rsid w:val="0AEB2948"/>
    <w:rsid w:val="0B0B4F80"/>
    <w:rsid w:val="0B133596"/>
    <w:rsid w:val="0B19630D"/>
    <w:rsid w:val="0B1964C2"/>
    <w:rsid w:val="0B582596"/>
    <w:rsid w:val="0B5A630E"/>
    <w:rsid w:val="0BA709DA"/>
    <w:rsid w:val="0BB772BD"/>
    <w:rsid w:val="0BBC2B25"/>
    <w:rsid w:val="0BC639A4"/>
    <w:rsid w:val="0BCB720C"/>
    <w:rsid w:val="0C552CAB"/>
    <w:rsid w:val="0CB90E13"/>
    <w:rsid w:val="0D21779D"/>
    <w:rsid w:val="0D2B7F62"/>
    <w:rsid w:val="0DB36678"/>
    <w:rsid w:val="0DC3019B"/>
    <w:rsid w:val="0DFA7935"/>
    <w:rsid w:val="0E320E7D"/>
    <w:rsid w:val="0E6179B4"/>
    <w:rsid w:val="0E697FB4"/>
    <w:rsid w:val="0E6F3E7F"/>
    <w:rsid w:val="0E8C2C83"/>
    <w:rsid w:val="0ECD448F"/>
    <w:rsid w:val="0ECE5049"/>
    <w:rsid w:val="0F006637"/>
    <w:rsid w:val="0FAD1102"/>
    <w:rsid w:val="0FE5141F"/>
    <w:rsid w:val="1016157A"/>
    <w:rsid w:val="10246EEB"/>
    <w:rsid w:val="10302962"/>
    <w:rsid w:val="10352EA6"/>
    <w:rsid w:val="10B4026F"/>
    <w:rsid w:val="10D821AF"/>
    <w:rsid w:val="10F25D36"/>
    <w:rsid w:val="113B44EC"/>
    <w:rsid w:val="114A0BD3"/>
    <w:rsid w:val="115832F0"/>
    <w:rsid w:val="116201BE"/>
    <w:rsid w:val="116972AB"/>
    <w:rsid w:val="11CE71F6"/>
    <w:rsid w:val="11DA6397"/>
    <w:rsid w:val="1235718D"/>
    <w:rsid w:val="12463148"/>
    <w:rsid w:val="12685318"/>
    <w:rsid w:val="12687563"/>
    <w:rsid w:val="12A02FC2"/>
    <w:rsid w:val="12D44BF8"/>
    <w:rsid w:val="12EE3177"/>
    <w:rsid w:val="132A7513"/>
    <w:rsid w:val="134A6C68"/>
    <w:rsid w:val="138A3509"/>
    <w:rsid w:val="138E124B"/>
    <w:rsid w:val="139D4FEA"/>
    <w:rsid w:val="13F866C4"/>
    <w:rsid w:val="14445DAD"/>
    <w:rsid w:val="146B158C"/>
    <w:rsid w:val="149F6365"/>
    <w:rsid w:val="150B4C5A"/>
    <w:rsid w:val="15107A3E"/>
    <w:rsid w:val="1523526E"/>
    <w:rsid w:val="152E4A94"/>
    <w:rsid w:val="15856169"/>
    <w:rsid w:val="15F07F9B"/>
    <w:rsid w:val="15FD6214"/>
    <w:rsid w:val="16105F47"/>
    <w:rsid w:val="16261EBA"/>
    <w:rsid w:val="163C6D3C"/>
    <w:rsid w:val="16ED118F"/>
    <w:rsid w:val="170D06D9"/>
    <w:rsid w:val="17451C21"/>
    <w:rsid w:val="17467488"/>
    <w:rsid w:val="17934798"/>
    <w:rsid w:val="17D9680D"/>
    <w:rsid w:val="17E41539"/>
    <w:rsid w:val="18041ADC"/>
    <w:rsid w:val="183121A5"/>
    <w:rsid w:val="185760AF"/>
    <w:rsid w:val="18635804"/>
    <w:rsid w:val="18A27FE5"/>
    <w:rsid w:val="18AF707B"/>
    <w:rsid w:val="18C94AD3"/>
    <w:rsid w:val="18E6440B"/>
    <w:rsid w:val="18E727CD"/>
    <w:rsid w:val="19031D93"/>
    <w:rsid w:val="19241D0A"/>
    <w:rsid w:val="194303E2"/>
    <w:rsid w:val="1945415A"/>
    <w:rsid w:val="19715526"/>
    <w:rsid w:val="19E33973"/>
    <w:rsid w:val="1A07140F"/>
    <w:rsid w:val="1A082804"/>
    <w:rsid w:val="1A402B73"/>
    <w:rsid w:val="1AA03612"/>
    <w:rsid w:val="1AA5305E"/>
    <w:rsid w:val="1AB84CBD"/>
    <w:rsid w:val="1AC9700C"/>
    <w:rsid w:val="1B0B3181"/>
    <w:rsid w:val="1B0F0EC3"/>
    <w:rsid w:val="1B390677"/>
    <w:rsid w:val="1B3C77DE"/>
    <w:rsid w:val="1B5C39DD"/>
    <w:rsid w:val="1B79633D"/>
    <w:rsid w:val="1BF805FB"/>
    <w:rsid w:val="1C0D4CD7"/>
    <w:rsid w:val="1C705B1F"/>
    <w:rsid w:val="1C83307C"/>
    <w:rsid w:val="1C8C02F2"/>
    <w:rsid w:val="1CA73842"/>
    <w:rsid w:val="1CBA4E5F"/>
    <w:rsid w:val="1CFF02CB"/>
    <w:rsid w:val="1D05224B"/>
    <w:rsid w:val="1D331687"/>
    <w:rsid w:val="1D4A495D"/>
    <w:rsid w:val="1D7274E7"/>
    <w:rsid w:val="1D9B4C90"/>
    <w:rsid w:val="1DA90A2F"/>
    <w:rsid w:val="1DB16111"/>
    <w:rsid w:val="1DE91DEB"/>
    <w:rsid w:val="1DEC606D"/>
    <w:rsid w:val="1E234C86"/>
    <w:rsid w:val="1E2F362A"/>
    <w:rsid w:val="1E3649B9"/>
    <w:rsid w:val="1E9E60BA"/>
    <w:rsid w:val="1F0C1276"/>
    <w:rsid w:val="1F766632"/>
    <w:rsid w:val="1F884DA0"/>
    <w:rsid w:val="1FB7272B"/>
    <w:rsid w:val="1FD9384E"/>
    <w:rsid w:val="1FDD482E"/>
    <w:rsid w:val="20012DA5"/>
    <w:rsid w:val="20016901"/>
    <w:rsid w:val="20C462AC"/>
    <w:rsid w:val="20E51DA3"/>
    <w:rsid w:val="20EE157B"/>
    <w:rsid w:val="20FF1092"/>
    <w:rsid w:val="210B3EDB"/>
    <w:rsid w:val="21175BDD"/>
    <w:rsid w:val="2142166C"/>
    <w:rsid w:val="215240CB"/>
    <w:rsid w:val="21863561"/>
    <w:rsid w:val="21A60522"/>
    <w:rsid w:val="22280ABD"/>
    <w:rsid w:val="222A65E3"/>
    <w:rsid w:val="2247129B"/>
    <w:rsid w:val="22511DC1"/>
    <w:rsid w:val="226F4AA0"/>
    <w:rsid w:val="22745AB0"/>
    <w:rsid w:val="22954F51"/>
    <w:rsid w:val="22A10389"/>
    <w:rsid w:val="22BA56A5"/>
    <w:rsid w:val="22D30A28"/>
    <w:rsid w:val="22D87DED"/>
    <w:rsid w:val="23264FFC"/>
    <w:rsid w:val="23290648"/>
    <w:rsid w:val="233D23C7"/>
    <w:rsid w:val="237019E5"/>
    <w:rsid w:val="237613B4"/>
    <w:rsid w:val="237A0EA4"/>
    <w:rsid w:val="23A25C08"/>
    <w:rsid w:val="23B73EA6"/>
    <w:rsid w:val="23D4591F"/>
    <w:rsid w:val="23D700A4"/>
    <w:rsid w:val="2415065A"/>
    <w:rsid w:val="241C1F5B"/>
    <w:rsid w:val="2421069B"/>
    <w:rsid w:val="2442484C"/>
    <w:rsid w:val="24494EF0"/>
    <w:rsid w:val="244A674C"/>
    <w:rsid w:val="246E7C02"/>
    <w:rsid w:val="24A563F4"/>
    <w:rsid w:val="25022000"/>
    <w:rsid w:val="25071BD5"/>
    <w:rsid w:val="25180974"/>
    <w:rsid w:val="251B66B7"/>
    <w:rsid w:val="25486445"/>
    <w:rsid w:val="25585215"/>
    <w:rsid w:val="25744A0D"/>
    <w:rsid w:val="25861D82"/>
    <w:rsid w:val="258A1146"/>
    <w:rsid w:val="25F72C80"/>
    <w:rsid w:val="265417B0"/>
    <w:rsid w:val="268A0EDE"/>
    <w:rsid w:val="26A36964"/>
    <w:rsid w:val="26E72CF4"/>
    <w:rsid w:val="270F5DA7"/>
    <w:rsid w:val="271250B9"/>
    <w:rsid w:val="27185D82"/>
    <w:rsid w:val="27292A2C"/>
    <w:rsid w:val="27541A0C"/>
    <w:rsid w:val="27716887"/>
    <w:rsid w:val="277D2422"/>
    <w:rsid w:val="27821384"/>
    <w:rsid w:val="27A85F06"/>
    <w:rsid w:val="27E169B5"/>
    <w:rsid w:val="27FF7BCA"/>
    <w:rsid w:val="28357A8F"/>
    <w:rsid w:val="283A1E86"/>
    <w:rsid w:val="285B1B22"/>
    <w:rsid w:val="28642907"/>
    <w:rsid w:val="28684D3F"/>
    <w:rsid w:val="28D9411C"/>
    <w:rsid w:val="28EA2628"/>
    <w:rsid w:val="2900009D"/>
    <w:rsid w:val="29021BA0"/>
    <w:rsid w:val="29647F4F"/>
    <w:rsid w:val="298D02AE"/>
    <w:rsid w:val="29D06E54"/>
    <w:rsid w:val="2A5807FE"/>
    <w:rsid w:val="2A93421F"/>
    <w:rsid w:val="2AAF0EE7"/>
    <w:rsid w:val="2AE06B47"/>
    <w:rsid w:val="2AFA0B1C"/>
    <w:rsid w:val="2B1A6897"/>
    <w:rsid w:val="2B277B63"/>
    <w:rsid w:val="2B2A7653"/>
    <w:rsid w:val="2B377690"/>
    <w:rsid w:val="2B42499D"/>
    <w:rsid w:val="2B5244B4"/>
    <w:rsid w:val="2B607D2C"/>
    <w:rsid w:val="2B764647"/>
    <w:rsid w:val="2BE710A1"/>
    <w:rsid w:val="2C071ED9"/>
    <w:rsid w:val="2C2876FD"/>
    <w:rsid w:val="2C433598"/>
    <w:rsid w:val="2C814D8D"/>
    <w:rsid w:val="2C8B5ED0"/>
    <w:rsid w:val="2C901738"/>
    <w:rsid w:val="2CAD5E46"/>
    <w:rsid w:val="2CCB6C14"/>
    <w:rsid w:val="2D151C3D"/>
    <w:rsid w:val="2D202ABC"/>
    <w:rsid w:val="2D3C6A45"/>
    <w:rsid w:val="2D4C1B03"/>
    <w:rsid w:val="2D656721"/>
    <w:rsid w:val="2D6706EB"/>
    <w:rsid w:val="2D6A01DB"/>
    <w:rsid w:val="2D8E0191"/>
    <w:rsid w:val="2DA07C21"/>
    <w:rsid w:val="2DBE22D5"/>
    <w:rsid w:val="2DD074DC"/>
    <w:rsid w:val="2E7330BF"/>
    <w:rsid w:val="2EA25753"/>
    <w:rsid w:val="2EB7701A"/>
    <w:rsid w:val="2EBA0CEE"/>
    <w:rsid w:val="2F6649D2"/>
    <w:rsid w:val="30182170"/>
    <w:rsid w:val="307D6477"/>
    <w:rsid w:val="308570DA"/>
    <w:rsid w:val="30961768"/>
    <w:rsid w:val="30B67293"/>
    <w:rsid w:val="30E91417"/>
    <w:rsid w:val="31171865"/>
    <w:rsid w:val="312923BE"/>
    <w:rsid w:val="31363720"/>
    <w:rsid w:val="318B6972"/>
    <w:rsid w:val="319C46DB"/>
    <w:rsid w:val="31A97CD4"/>
    <w:rsid w:val="31D2634F"/>
    <w:rsid w:val="31E247E4"/>
    <w:rsid w:val="32026C34"/>
    <w:rsid w:val="326A2A2B"/>
    <w:rsid w:val="3276317E"/>
    <w:rsid w:val="327A2C6E"/>
    <w:rsid w:val="32987598"/>
    <w:rsid w:val="32AC4DF2"/>
    <w:rsid w:val="32FF6B16"/>
    <w:rsid w:val="33227530"/>
    <w:rsid w:val="332B21BB"/>
    <w:rsid w:val="33666672"/>
    <w:rsid w:val="33A67096"/>
    <w:rsid w:val="340A2524"/>
    <w:rsid w:val="340A4CC4"/>
    <w:rsid w:val="349B3370"/>
    <w:rsid w:val="34AA710F"/>
    <w:rsid w:val="34DF500B"/>
    <w:rsid w:val="34E20283"/>
    <w:rsid w:val="34EA39B0"/>
    <w:rsid w:val="34F32BB2"/>
    <w:rsid w:val="35073353"/>
    <w:rsid w:val="3509652C"/>
    <w:rsid w:val="35312FB5"/>
    <w:rsid w:val="358B0CEF"/>
    <w:rsid w:val="35AD335B"/>
    <w:rsid w:val="35B53FBD"/>
    <w:rsid w:val="35F9509E"/>
    <w:rsid w:val="363D4A07"/>
    <w:rsid w:val="363D5E59"/>
    <w:rsid w:val="3651018A"/>
    <w:rsid w:val="3660217B"/>
    <w:rsid w:val="36EB5526"/>
    <w:rsid w:val="36F105E9"/>
    <w:rsid w:val="372907BF"/>
    <w:rsid w:val="376E6B1A"/>
    <w:rsid w:val="378400EB"/>
    <w:rsid w:val="379C5435"/>
    <w:rsid w:val="37B54749"/>
    <w:rsid w:val="38172D0E"/>
    <w:rsid w:val="382673F4"/>
    <w:rsid w:val="384D1928"/>
    <w:rsid w:val="385F6795"/>
    <w:rsid w:val="387D6D08"/>
    <w:rsid w:val="38BD1B07"/>
    <w:rsid w:val="38C369F1"/>
    <w:rsid w:val="38E2156D"/>
    <w:rsid w:val="394D0530"/>
    <w:rsid w:val="395835DE"/>
    <w:rsid w:val="39730417"/>
    <w:rsid w:val="39A44A75"/>
    <w:rsid w:val="39FF7EFD"/>
    <w:rsid w:val="3A541D49"/>
    <w:rsid w:val="3A886145"/>
    <w:rsid w:val="3AA52F72"/>
    <w:rsid w:val="3AD60C5E"/>
    <w:rsid w:val="3B117EE8"/>
    <w:rsid w:val="3B8763FC"/>
    <w:rsid w:val="3BE9676F"/>
    <w:rsid w:val="3C123F18"/>
    <w:rsid w:val="3CB21257"/>
    <w:rsid w:val="3CC50F8A"/>
    <w:rsid w:val="3CE60F00"/>
    <w:rsid w:val="3D25187E"/>
    <w:rsid w:val="3D4E289F"/>
    <w:rsid w:val="3D4F6AA6"/>
    <w:rsid w:val="3D5D7415"/>
    <w:rsid w:val="3E086786"/>
    <w:rsid w:val="3E6B790F"/>
    <w:rsid w:val="3E8C44BB"/>
    <w:rsid w:val="3EB753FD"/>
    <w:rsid w:val="3EC86B10"/>
    <w:rsid w:val="3EFB6EE5"/>
    <w:rsid w:val="3EFC2C5D"/>
    <w:rsid w:val="3F19736B"/>
    <w:rsid w:val="3F411998"/>
    <w:rsid w:val="3F4F0FDF"/>
    <w:rsid w:val="3F67457A"/>
    <w:rsid w:val="3F6F78D3"/>
    <w:rsid w:val="3F726554"/>
    <w:rsid w:val="3FB86B84"/>
    <w:rsid w:val="3FC2231F"/>
    <w:rsid w:val="3FE70E24"/>
    <w:rsid w:val="409A272E"/>
    <w:rsid w:val="40FA4F7A"/>
    <w:rsid w:val="410A5AAA"/>
    <w:rsid w:val="415648A7"/>
    <w:rsid w:val="41602C3D"/>
    <w:rsid w:val="41833E82"/>
    <w:rsid w:val="41886A2A"/>
    <w:rsid w:val="418B7E3D"/>
    <w:rsid w:val="419B675D"/>
    <w:rsid w:val="419D24D5"/>
    <w:rsid w:val="42277FF1"/>
    <w:rsid w:val="42A45AE6"/>
    <w:rsid w:val="42B775C7"/>
    <w:rsid w:val="42BD2703"/>
    <w:rsid w:val="42D737C5"/>
    <w:rsid w:val="42E934F8"/>
    <w:rsid w:val="42F500EF"/>
    <w:rsid w:val="431542ED"/>
    <w:rsid w:val="431F7012"/>
    <w:rsid w:val="43475428"/>
    <w:rsid w:val="436A37B2"/>
    <w:rsid w:val="43790D20"/>
    <w:rsid w:val="43911BC6"/>
    <w:rsid w:val="4392593E"/>
    <w:rsid w:val="43CA157C"/>
    <w:rsid w:val="43E97226"/>
    <w:rsid w:val="44207503"/>
    <w:rsid w:val="445F1CC4"/>
    <w:rsid w:val="447C2876"/>
    <w:rsid w:val="448C6831"/>
    <w:rsid w:val="44AC2A30"/>
    <w:rsid w:val="44CC7F19"/>
    <w:rsid w:val="44EB17AA"/>
    <w:rsid w:val="44EE3048"/>
    <w:rsid w:val="44FD346B"/>
    <w:rsid w:val="44FF5255"/>
    <w:rsid w:val="450F7DBE"/>
    <w:rsid w:val="4518268A"/>
    <w:rsid w:val="45362102"/>
    <w:rsid w:val="45690763"/>
    <w:rsid w:val="4599478A"/>
    <w:rsid w:val="45B44292"/>
    <w:rsid w:val="46032817"/>
    <w:rsid w:val="460C5E7C"/>
    <w:rsid w:val="46195EA3"/>
    <w:rsid w:val="46252D4D"/>
    <w:rsid w:val="463C2E03"/>
    <w:rsid w:val="467671D5"/>
    <w:rsid w:val="4699199D"/>
    <w:rsid w:val="469F0A9E"/>
    <w:rsid w:val="47097B0F"/>
    <w:rsid w:val="473E2065"/>
    <w:rsid w:val="475573AE"/>
    <w:rsid w:val="47941C85"/>
    <w:rsid w:val="479A3013"/>
    <w:rsid w:val="47F60B91"/>
    <w:rsid w:val="483A26D1"/>
    <w:rsid w:val="484F2050"/>
    <w:rsid w:val="486C49B0"/>
    <w:rsid w:val="48A2243D"/>
    <w:rsid w:val="48EC4F4F"/>
    <w:rsid w:val="490957B5"/>
    <w:rsid w:val="49425710"/>
    <w:rsid w:val="4948541D"/>
    <w:rsid w:val="4981092F"/>
    <w:rsid w:val="49971F00"/>
    <w:rsid w:val="49E31F95"/>
    <w:rsid w:val="49F64E79"/>
    <w:rsid w:val="4A225C6E"/>
    <w:rsid w:val="4A3B3493"/>
    <w:rsid w:val="4A4060F4"/>
    <w:rsid w:val="4A8134F1"/>
    <w:rsid w:val="4A857FAB"/>
    <w:rsid w:val="4A8C522A"/>
    <w:rsid w:val="4A9B25E6"/>
    <w:rsid w:val="4AA246B9"/>
    <w:rsid w:val="4AB37920"/>
    <w:rsid w:val="4B187071"/>
    <w:rsid w:val="4B4B3B15"/>
    <w:rsid w:val="4B5856BF"/>
    <w:rsid w:val="4B626DC0"/>
    <w:rsid w:val="4B646353"/>
    <w:rsid w:val="4B7C315C"/>
    <w:rsid w:val="4B834A1C"/>
    <w:rsid w:val="4BB01057"/>
    <w:rsid w:val="4BB225EC"/>
    <w:rsid w:val="4BC62629"/>
    <w:rsid w:val="4BD20FCE"/>
    <w:rsid w:val="4BEB0C49"/>
    <w:rsid w:val="4C39104D"/>
    <w:rsid w:val="4C426C15"/>
    <w:rsid w:val="4C491311"/>
    <w:rsid w:val="4C577725"/>
    <w:rsid w:val="4CFF2296"/>
    <w:rsid w:val="4D0E4287"/>
    <w:rsid w:val="4D2C6E03"/>
    <w:rsid w:val="4D3D691B"/>
    <w:rsid w:val="4DB34E2F"/>
    <w:rsid w:val="4DDA685F"/>
    <w:rsid w:val="4E173610"/>
    <w:rsid w:val="4E6C5709"/>
    <w:rsid w:val="4E7A071C"/>
    <w:rsid w:val="4E7B594C"/>
    <w:rsid w:val="4E85550F"/>
    <w:rsid w:val="4E9407BC"/>
    <w:rsid w:val="4E964534"/>
    <w:rsid w:val="4EE01C53"/>
    <w:rsid w:val="4EEE4370"/>
    <w:rsid w:val="4F604B42"/>
    <w:rsid w:val="4F7A3E56"/>
    <w:rsid w:val="4FBC446F"/>
    <w:rsid w:val="4FC772F2"/>
    <w:rsid w:val="500D6A78"/>
    <w:rsid w:val="507A17E6"/>
    <w:rsid w:val="50C1440C"/>
    <w:rsid w:val="50D457E8"/>
    <w:rsid w:val="50D94BAC"/>
    <w:rsid w:val="511856D5"/>
    <w:rsid w:val="51312C3A"/>
    <w:rsid w:val="513B13C3"/>
    <w:rsid w:val="51B03B5F"/>
    <w:rsid w:val="5205202F"/>
    <w:rsid w:val="520E6AD8"/>
    <w:rsid w:val="52142342"/>
    <w:rsid w:val="523A1AA0"/>
    <w:rsid w:val="524719CE"/>
    <w:rsid w:val="5248023B"/>
    <w:rsid w:val="52600880"/>
    <w:rsid w:val="52B21B59"/>
    <w:rsid w:val="53253909"/>
    <w:rsid w:val="532A16EF"/>
    <w:rsid w:val="538A3F15"/>
    <w:rsid w:val="53930456"/>
    <w:rsid w:val="53B10062"/>
    <w:rsid w:val="53B11E10"/>
    <w:rsid w:val="53D37FD9"/>
    <w:rsid w:val="53DE2F6F"/>
    <w:rsid w:val="540B4EFD"/>
    <w:rsid w:val="54482775"/>
    <w:rsid w:val="546658D1"/>
    <w:rsid w:val="54F63F7F"/>
    <w:rsid w:val="55766E6E"/>
    <w:rsid w:val="55A423F8"/>
    <w:rsid w:val="55AC288F"/>
    <w:rsid w:val="55C0633B"/>
    <w:rsid w:val="55EF2AAA"/>
    <w:rsid w:val="55F54236"/>
    <w:rsid w:val="565E5224"/>
    <w:rsid w:val="56763C45"/>
    <w:rsid w:val="56847368"/>
    <w:rsid w:val="56D47BF6"/>
    <w:rsid w:val="5717172E"/>
    <w:rsid w:val="57203952"/>
    <w:rsid w:val="575136EE"/>
    <w:rsid w:val="575F6AA5"/>
    <w:rsid w:val="57931F59"/>
    <w:rsid w:val="57AE6D93"/>
    <w:rsid w:val="57BB48DB"/>
    <w:rsid w:val="57C95F84"/>
    <w:rsid w:val="58201313"/>
    <w:rsid w:val="58704048"/>
    <w:rsid w:val="58DB78B4"/>
    <w:rsid w:val="58FC0714"/>
    <w:rsid w:val="595E20F3"/>
    <w:rsid w:val="596D4A2C"/>
    <w:rsid w:val="59787A0E"/>
    <w:rsid w:val="597E5C14"/>
    <w:rsid w:val="599C0E6D"/>
    <w:rsid w:val="59A65848"/>
    <w:rsid w:val="59B519CF"/>
    <w:rsid w:val="59B85EB7"/>
    <w:rsid w:val="59BF177B"/>
    <w:rsid w:val="59D67C33"/>
    <w:rsid w:val="59EC3BA2"/>
    <w:rsid w:val="5A0E1D6B"/>
    <w:rsid w:val="5A3A490E"/>
    <w:rsid w:val="5A40545C"/>
    <w:rsid w:val="5A423F98"/>
    <w:rsid w:val="5A4968FF"/>
    <w:rsid w:val="5AD22BD7"/>
    <w:rsid w:val="5B340D27"/>
    <w:rsid w:val="5B90055D"/>
    <w:rsid w:val="5B95612C"/>
    <w:rsid w:val="5B991BA7"/>
    <w:rsid w:val="5BAA7871"/>
    <w:rsid w:val="5BEA5669"/>
    <w:rsid w:val="5C814BED"/>
    <w:rsid w:val="5C89392A"/>
    <w:rsid w:val="5CBD4278"/>
    <w:rsid w:val="5CE46DB3"/>
    <w:rsid w:val="5CF637D8"/>
    <w:rsid w:val="5D02548B"/>
    <w:rsid w:val="5D156F6C"/>
    <w:rsid w:val="5D1F1C68"/>
    <w:rsid w:val="5D2C42B6"/>
    <w:rsid w:val="5D4F24FB"/>
    <w:rsid w:val="5D852344"/>
    <w:rsid w:val="5D883BE2"/>
    <w:rsid w:val="5DE21E1E"/>
    <w:rsid w:val="5E111E29"/>
    <w:rsid w:val="5E3E0745"/>
    <w:rsid w:val="5EB42450"/>
    <w:rsid w:val="5EC7698C"/>
    <w:rsid w:val="5EFC6636"/>
    <w:rsid w:val="5F013C4C"/>
    <w:rsid w:val="5F585836"/>
    <w:rsid w:val="5F5C0E82"/>
    <w:rsid w:val="5F687A92"/>
    <w:rsid w:val="5F7E172D"/>
    <w:rsid w:val="5F916509"/>
    <w:rsid w:val="5FDF108A"/>
    <w:rsid w:val="5FE175D9"/>
    <w:rsid w:val="607711CF"/>
    <w:rsid w:val="60886DB9"/>
    <w:rsid w:val="60A704C8"/>
    <w:rsid w:val="60B371C8"/>
    <w:rsid w:val="60FF240D"/>
    <w:rsid w:val="612609D0"/>
    <w:rsid w:val="613D1187"/>
    <w:rsid w:val="615C785F"/>
    <w:rsid w:val="615D7C5D"/>
    <w:rsid w:val="617B3BD2"/>
    <w:rsid w:val="61D11EC8"/>
    <w:rsid w:val="61D45789"/>
    <w:rsid w:val="61DD43D6"/>
    <w:rsid w:val="622C10F6"/>
    <w:rsid w:val="62397BA1"/>
    <w:rsid w:val="628F156F"/>
    <w:rsid w:val="62A0377C"/>
    <w:rsid w:val="62B56907"/>
    <w:rsid w:val="62CC3023"/>
    <w:rsid w:val="6300246C"/>
    <w:rsid w:val="633D721D"/>
    <w:rsid w:val="63531B3D"/>
    <w:rsid w:val="639C03D4"/>
    <w:rsid w:val="63CF256B"/>
    <w:rsid w:val="63E019C2"/>
    <w:rsid w:val="64406FC4"/>
    <w:rsid w:val="64887113"/>
    <w:rsid w:val="64C71494"/>
    <w:rsid w:val="652341F0"/>
    <w:rsid w:val="65420EA8"/>
    <w:rsid w:val="65424019"/>
    <w:rsid w:val="659D3FA3"/>
    <w:rsid w:val="65AB4911"/>
    <w:rsid w:val="65C7259C"/>
    <w:rsid w:val="65C92FEA"/>
    <w:rsid w:val="664675B7"/>
    <w:rsid w:val="666845B1"/>
    <w:rsid w:val="6672542F"/>
    <w:rsid w:val="667473F9"/>
    <w:rsid w:val="66884C53"/>
    <w:rsid w:val="66D71736"/>
    <w:rsid w:val="66F524C7"/>
    <w:rsid w:val="670F2C7E"/>
    <w:rsid w:val="674A015A"/>
    <w:rsid w:val="675F3C06"/>
    <w:rsid w:val="677156E7"/>
    <w:rsid w:val="677B0314"/>
    <w:rsid w:val="67BC2E06"/>
    <w:rsid w:val="67D55C76"/>
    <w:rsid w:val="67F13216"/>
    <w:rsid w:val="680447AD"/>
    <w:rsid w:val="687E1793"/>
    <w:rsid w:val="690B6DDE"/>
    <w:rsid w:val="69164798"/>
    <w:rsid w:val="693469CC"/>
    <w:rsid w:val="69446A1B"/>
    <w:rsid w:val="69472BA3"/>
    <w:rsid w:val="6958090C"/>
    <w:rsid w:val="69765236"/>
    <w:rsid w:val="698200F7"/>
    <w:rsid w:val="69894F6A"/>
    <w:rsid w:val="69F745C9"/>
    <w:rsid w:val="69FF6BDE"/>
    <w:rsid w:val="6A0740E0"/>
    <w:rsid w:val="6A161C94"/>
    <w:rsid w:val="6A682DAB"/>
    <w:rsid w:val="6A8D2838"/>
    <w:rsid w:val="6AA55DB5"/>
    <w:rsid w:val="6AA803E7"/>
    <w:rsid w:val="6ABB5F83"/>
    <w:rsid w:val="6AC87D14"/>
    <w:rsid w:val="6AEE5E05"/>
    <w:rsid w:val="6AF2584B"/>
    <w:rsid w:val="6B1A5AB4"/>
    <w:rsid w:val="6B470AE2"/>
    <w:rsid w:val="6B49229D"/>
    <w:rsid w:val="6BAE0CB8"/>
    <w:rsid w:val="6BF012D0"/>
    <w:rsid w:val="6BFF1513"/>
    <w:rsid w:val="6C2C2C28"/>
    <w:rsid w:val="6C2C7E2E"/>
    <w:rsid w:val="6C4C4F89"/>
    <w:rsid w:val="6C59404E"/>
    <w:rsid w:val="6C7D68DC"/>
    <w:rsid w:val="6CAC741A"/>
    <w:rsid w:val="6CCA3512"/>
    <w:rsid w:val="6CCC3665"/>
    <w:rsid w:val="6CD37C53"/>
    <w:rsid w:val="6CE54BAD"/>
    <w:rsid w:val="6D040C67"/>
    <w:rsid w:val="6D21195D"/>
    <w:rsid w:val="6D2A25C0"/>
    <w:rsid w:val="6D3053FA"/>
    <w:rsid w:val="6D422A75"/>
    <w:rsid w:val="6D4713C4"/>
    <w:rsid w:val="6D4A0EB4"/>
    <w:rsid w:val="6D4F0278"/>
    <w:rsid w:val="6D5910F7"/>
    <w:rsid w:val="6D715F3C"/>
    <w:rsid w:val="6D8D0DA1"/>
    <w:rsid w:val="6DA2484C"/>
    <w:rsid w:val="6DA93E2C"/>
    <w:rsid w:val="6DD644F6"/>
    <w:rsid w:val="6DE05374"/>
    <w:rsid w:val="6DE94F98"/>
    <w:rsid w:val="6DEE254B"/>
    <w:rsid w:val="6E105C5A"/>
    <w:rsid w:val="6E3A4A84"/>
    <w:rsid w:val="6E494CC8"/>
    <w:rsid w:val="6E602011"/>
    <w:rsid w:val="6E635F18"/>
    <w:rsid w:val="6EB02F99"/>
    <w:rsid w:val="6EBE7FC3"/>
    <w:rsid w:val="6EDD3662"/>
    <w:rsid w:val="6F2B374D"/>
    <w:rsid w:val="6F5478EE"/>
    <w:rsid w:val="6FAB550E"/>
    <w:rsid w:val="6FC36CFC"/>
    <w:rsid w:val="6FCF744E"/>
    <w:rsid w:val="6FDE3B35"/>
    <w:rsid w:val="6FE95BCD"/>
    <w:rsid w:val="70182BA3"/>
    <w:rsid w:val="705C4CB7"/>
    <w:rsid w:val="70C5527F"/>
    <w:rsid w:val="70C90342"/>
    <w:rsid w:val="70E333AC"/>
    <w:rsid w:val="70EB475C"/>
    <w:rsid w:val="71A01753"/>
    <w:rsid w:val="71A37C91"/>
    <w:rsid w:val="71BA65F5"/>
    <w:rsid w:val="71D544A6"/>
    <w:rsid w:val="71F96A05"/>
    <w:rsid w:val="720535FB"/>
    <w:rsid w:val="72084E9A"/>
    <w:rsid w:val="724E69A2"/>
    <w:rsid w:val="726F4F19"/>
    <w:rsid w:val="727B1B10"/>
    <w:rsid w:val="72BB1F0C"/>
    <w:rsid w:val="72D54D7C"/>
    <w:rsid w:val="72D66B55"/>
    <w:rsid w:val="72E27499"/>
    <w:rsid w:val="730218E9"/>
    <w:rsid w:val="732C65AC"/>
    <w:rsid w:val="734B411B"/>
    <w:rsid w:val="73501E9D"/>
    <w:rsid w:val="73531308"/>
    <w:rsid w:val="73592668"/>
    <w:rsid w:val="73CC2623"/>
    <w:rsid w:val="74055B35"/>
    <w:rsid w:val="740A314B"/>
    <w:rsid w:val="741B7106"/>
    <w:rsid w:val="745E64BA"/>
    <w:rsid w:val="745E6FF3"/>
    <w:rsid w:val="749E5641"/>
    <w:rsid w:val="74C94DB4"/>
    <w:rsid w:val="74CC6652"/>
    <w:rsid w:val="74D774D1"/>
    <w:rsid w:val="74EB4D2A"/>
    <w:rsid w:val="74F35D48"/>
    <w:rsid w:val="75091655"/>
    <w:rsid w:val="751678CE"/>
    <w:rsid w:val="75587EE6"/>
    <w:rsid w:val="756845CD"/>
    <w:rsid w:val="75792336"/>
    <w:rsid w:val="757C3BD5"/>
    <w:rsid w:val="75F93477"/>
    <w:rsid w:val="75FE283B"/>
    <w:rsid w:val="76052900"/>
    <w:rsid w:val="760B6D06"/>
    <w:rsid w:val="76157B85"/>
    <w:rsid w:val="767D7C04"/>
    <w:rsid w:val="76944F4E"/>
    <w:rsid w:val="76A30D32"/>
    <w:rsid w:val="76CF5F86"/>
    <w:rsid w:val="77075FAA"/>
    <w:rsid w:val="771D13E7"/>
    <w:rsid w:val="773504DF"/>
    <w:rsid w:val="77D0768C"/>
    <w:rsid w:val="77E54B1C"/>
    <w:rsid w:val="77F87FF4"/>
    <w:rsid w:val="78436C2C"/>
    <w:rsid w:val="78540E39"/>
    <w:rsid w:val="786D24FD"/>
    <w:rsid w:val="78A0407E"/>
    <w:rsid w:val="78B638A1"/>
    <w:rsid w:val="78CF226D"/>
    <w:rsid w:val="79144124"/>
    <w:rsid w:val="79366790"/>
    <w:rsid w:val="79502069"/>
    <w:rsid w:val="798271F7"/>
    <w:rsid w:val="7993773F"/>
    <w:rsid w:val="79992F3A"/>
    <w:rsid w:val="79C243AB"/>
    <w:rsid w:val="79C93160"/>
    <w:rsid w:val="79D5534C"/>
    <w:rsid w:val="79D91236"/>
    <w:rsid w:val="79F1794A"/>
    <w:rsid w:val="79F53F55"/>
    <w:rsid w:val="79FB375A"/>
    <w:rsid w:val="7A3C7DD6"/>
    <w:rsid w:val="7A454EDD"/>
    <w:rsid w:val="7A570902"/>
    <w:rsid w:val="7AA31C03"/>
    <w:rsid w:val="7ABE6A3D"/>
    <w:rsid w:val="7AC758F2"/>
    <w:rsid w:val="7ACC454E"/>
    <w:rsid w:val="7ADA57DA"/>
    <w:rsid w:val="7B445194"/>
    <w:rsid w:val="7B615D46"/>
    <w:rsid w:val="7B6A461A"/>
    <w:rsid w:val="7B6C6499"/>
    <w:rsid w:val="7B7B66DC"/>
    <w:rsid w:val="7BBD27BE"/>
    <w:rsid w:val="7C06244A"/>
    <w:rsid w:val="7C183F2B"/>
    <w:rsid w:val="7C2E0782"/>
    <w:rsid w:val="7C352D2F"/>
    <w:rsid w:val="7C6F7FEF"/>
    <w:rsid w:val="7C7A2C25"/>
    <w:rsid w:val="7C8A307B"/>
    <w:rsid w:val="7CEF7382"/>
    <w:rsid w:val="7D0270B5"/>
    <w:rsid w:val="7D1B3B82"/>
    <w:rsid w:val="7D305EE0"/>
    <w:rsid w:val="7D4A280A"/>
    <w:rsid w:val="7D741635"/>
    <w:rsid w:val="7DFA5E68"/>
    <w:rsid w:val="7E024E93"/>
    <w:rsid w:val="7E51336F"/>
    <w:rsid w:val="7E77762F"/>
    <w:rsid w:val="7E7A465F"/>
    <w:rsid w:val="7EF06E36"/>
    <w:rsid w:val="7EFE5282"/>
    <w:rsid w:val="7F2A644F"/>
    <w:rsid w:val="7F355878"/>
    <w:rsid w:val="7F5A02BC"/>
    <w:rsid w:val="7F912972"/>
    <w:rsid w:val="7F9950E2"/>
    <w:rsid w:val="7FBA778B"/>
    <w:rsid w:val="7FDA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1"/>
    <w:pPr>
      <w:spacing w:beforeLines="0" w:afterLines="0"/>
      <w:ind w:left="106"/>
    </w:pPr>
    <w:rPr>
      <w:rFonts w:hint="eastAsia" w:ascii="仿宋_GB2312" w:hAnsi="仿宋_GB2312" w:eastAsia="仿宋_GB2312"/>
      <w:sz w:val="32"/>
      <w:szCs w:val="24"/>
    </w:rPr>
  </w:style>
  <w:style w:type="paragraph" w:styleId="4">
    <w:name w:val="Body Text Indent"/>
    <w:basedOn w:val="1"/>
    <w:qFormat/>
    <w:uiPriority w:val="0"/>
    <w:pPr>
      <w:spacing w:after="120"/>
      <w:ind w:left="420" w:leftChars="2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4"/>
    <w:unhideWhenUsed/>
    <w:qFormat/>
    <w:uiPriority w:val="99"/>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800080"/>
      <w:u w:val="none"/>
    </w:rPr>
  </w:style>
  <w:style w:type="character" w:styleId="12">
    <w:name w:val="Emphasis"/>
    <w:basedOn w:val="10"/>
    <w:qFormat/>
    <w:uiPriority w:val="0"/>
  </w:style>
  <w:style w:type="character" w:styleId="13">
    <w:name w:val="Hyperlink"/>
    <w:basedOn w:val="10"/>
    <w:qFormat/>
    <w:uiPriority w:val="0"/>
    <w:rPr>
      <w:color w:val="0000FF"/>
      <w:u w:val="none"/>
    </w:rPr>
  </w:style>
  <w:style w:type="character" w:styleId="14">
    <w:name w:val="HTML Code"/>
    <w:basedOn w:val="10"/>
    <w:qFormat/>
    <w:uiPriority w:val="0"/>
    <w:rPr>
      <w:rFonts w:ascii="Courier New" w:hAnsi="Courier New"/>
      <w:sz w:val="20"/>
      <w:bdr w:val="single" w:color="D9D9D9" w:sz="18" w:space="0"/>
      <w:shd w:val="clear" w:fill="F2F2F2"/>
    </w:rPr>
  </w:style>
  <w:style w:type="character" w:customStyle="1" w:styleId="15">
    <w:name w:val="_3bwix"/>
    <w:basedOn w:val="10"/>
    <w:qFormat/>
    <w:uiPriority w:val="0"/>
  </w:style>
  <w:style w:type="character" w:customStyle="1" w:styleId="16">
    <w:name w:val="hover4"/>
    <w:basedOn w:val="10"/>
    <w:qFormat/>
    <w:uiPriority w:val="0"/>
    <w:rPr>
      <w:color w:val="315EFB"/>
    </w:rPr>
  </w:style>
  <w:style w:type="character" w:customStyle="1" w:styleId="17">
    <w:name w:val="hover3"/>
    <w:basedOn w:val="10"/>
    <w:qFormat/>
    <w:uiPriority w:val="0"/>
    <w:rPr>
      <w:color w:val="315EFB"/>
    </w:rPr>
  </w:style>
  <w:style w:type="character" w:customStyle="1" w:styleId="18">
    <w:name w:val="first-child1"/>
    <w:basedOn w:val="10"/>
    <w:qFormat/>
    <w:uiPriority w:val="0"/>
  </w:style>
  <w:style w:type="character" w:customStyle="1" w:styleId="19">
    <w:name w:val="after2"/>
    <w:basedOn w:val="10"/>
    <w:qFormat/>
    <w:uiPriority w:val="0"/>
  </w:style>
  <w:style w:type="character" w:customStyle="1" w:styleId="20">
    <w:name w:val="before3"/>
    <w:basedOn w:val="10"/>
    <w:qFormat/>
    <w:uiPriority w:val="0"/>
    <w:rPr>
      <w:rFonts w:hint="default" w:ascii="pip-common" w:hAnsi="pip-common" w:eastAsia="pip-common" w:cs="pip-common"/>
    </w:rPr>
  </w:style>
  <w:style w:type="character" w:customStyle="1" w:styleId="21">
    <w:name w:val="hover6"/>
    <w:basedOn w:val="10"/>
    <w:qFormat/>
    <w:uiPriority w:val="0"/>
    <w:rPr>
      <w:shd w:val="clear" w:fill="F3F3F3"/>
    </w:rPr>
  </w:style>
  <w:style w:type="character" w:customStyle="1" w:styleId="22">
    <w:name w:val="hover7"/>
    <w:basedOn w:val="10"/>
    <w:qFormat/>
    <w:uiPriority w:val="0"/>
    <w:rPr>
      <w:sz w:val="21"/>
      <w:szCs w:val="21"/>
    </w:rPr>
  </w:style>
  <w:style w:type="character" w:customStyle="1" w:styleId="23">
    <w:name w:val="hover8"/>
    <w:basedOn w:val="10"/>
    <w:qFormat/>
    <w:uiPriority w:val="0"/>
    <w:rPr>
      <w:shd w:val="clear" w:fill="F3F3F3"/>
    </w:rPr>
  </w:style>
  <w:style w:type="character" w:customStyle="1" w:styleId="24">
    <w:name w:val="time"/>
    <w:basedOn w:val="10"/>
    <w:qFormat/>
    <w:uiPriority w:val="0"/>
    <w:rPr>
      <w:color w:val="888888"/>
    </w:rPr>
  </w:style>
  <w:style w:type="character" w:customStyle="1" w:styleId="25">
    <w:name w:val="time1"/>
    <w:basedOn w:val="10"/>
    <w:qFormat/>
    <w:uiPriority w:val="0"/>
    <w:rPr>
      <w:color w:val="888888"/>
      <w:sz w:val="27"/>
      <w:szCs w:val="27"/>
    </w:rPr>
  </w:style>
  <w:style w:type="character" w:customStyle="1" w:styleId="26">
    <w:name w:val="time2"/>
    <w:basedOn w:val="10"/>
    <w:qFormat/>
    <w:uiPriority w:val="0"/>
    <w:rPr>
      <w:color w:val="888888"/>
    </w:rPr>
  </w:style>
  <w:style w:type="character" w:customStyle="1" w:styleId="27">
    <w:name w:val="time3"/>
    <w:basedOn w:val="10"/>
    <w:qFormat/>
    <w:uiPriority w:val="0"/>
    <w:rPr>
      <w:color w:val="777777"/>
      <w:sz w:val="18"/>
      <w:szCs w:val="18"/>
    </w:rPr>
  </w:style>
  <w:style w:type="character" w:customStyle="1" w:styleId="28">
    <w:name w:val="fgray"/>
    <w:basedOn w:val="10"/>
    <w:qFormat/>
    <w:uiPriority w:val="0"/>
  </w:style>
  <w:style w:type="character" w:customStyle="1" w:styleId="29">
    <w:name w:val="fgray1"/>
    <w:basedOn w:val="10"/>
    <w:qFormat/>
    <w:uiPriority w:val="0"/>
  </w:style>
  <w:style w:type="character" w:customStyle="1" w:styleId="30">
    <w:name w:val="txt2"/>
    <w:basedOn w:val="10"/>
    <w:qFormat/>
    <w:uiPriority w:val="0"/>
    <w:rPr>
      <w:color w:val="A6A6A6"/>
      <w:sz w:val="21"/>
      <w:szCs w:val="21"/>
    </w:rPr>
  </w:style>
  <w:style w:type="character" w:customStyle="1" w:styleId="31">
    <w:name w:val="calendar-head__text-display"/>
    <w:basedOn w:val="10"/>
    <w:qFormat/>
    <w:uiPriority w:val="0"/>
    <w:rPr>
      <w:vanish/>
    </w:rPr>
  </w:style>
  <w:style w:type="character" w:customStyle="1" w:styleId="32">
    <w:name w:val="calendar-head__prev-range-btn"/>
    <w:basedOn w:val="10"/>
    <w:qFormat/>
    <w:uiPriority w:val="0"/>
    <w:rPr>
      <w:vanish/>
    </w:rPr>
  </w:style>
  <w:style w:type="character" w:customStyle="1" w:styleId="33">
    <w:name w:val="hover"/>
    <w:basedOn w:val="10"/>
    <w:qFormat/>
    <w:uiPriority w:val="0"/>
    <w:rPr>
      <w:color w:val="2F6EA2"/>
    </w:rPr>
  </w:style>
  <w:style w:type="character" w:customStyle="1" w:styleId="34">
    <w:name w:val="calendar-head__year-range"/>
    <w:basedOn w:val="10"/>
    <w:qFormat/>
    <w:uiPriority w:val="0"/>
    <w:rPr>
      <w:vanish/>
    </w:rPr>
  </w:style>
  <w:style w:type="character" w:customStyle="1" w:styleId="35">
    <w:name w:val="calendar-head__next-year-btn"/>
    <w:basedOn w:val="10"/>
    <w:qFormat/>
    <w:uiPriority w:val="0"/>
  </w:style>
  <w:style w:type="character" w:customStyle="1" w:styleId="36">
    <w:name w:val="calendar-head__next-range-btn"/>
    <w:basedOn w:val="10"/>
    <w:qFormat/>
    <w:uiPriority w:val="0"/>
    <w:rPr>
      <w:vanish/>
    </w:rPr>
  </w:style>
  <w:style w:type="character" w:customStyle="1" w:styleId="37">
    <w:name w:val="calendar-head__next-month-btn"/>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15050</Words>
  <Characters>15361</Characters>
  <Lines>0</Lines>
  <Paragraphs>0</Paragraphs>
  <TotalTime>14</TotalTime>
  <ScaleCrop>false</ScaleCrop>
  <LinksUpToDate>false</LinksUpToDate>
  <CharactersWithSpaces>15377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2023-01-18T03:29:00Z</dcterms:created>
  <dc:creator>Administrator</dc:creator>
  <cp:lastModifiedBy>洋</cp:lastModifiedBy>
  <dcterms:modified xsi:type="dcterms:W3CDTF">2023-02-13T04:11:42Z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2A134B1B42774C83ADC87CD5E2A4C83D</vt:lpwstr>
  </property>
</Properties>
</file>