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二七区2022年1-12月经济运行情况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二七区统计局</w:t>
      </w:r>
    </w:p>
    <w:p>
      <w:pPr>
        <w:spacing w:line="3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pStyle w:val="15"/>
        <w:widowControl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今年以来，全区上下认真贯彻落实“疫情要防住、经济要稳住、发展要安全”的要求，高效统筹疫情防控和经济社会发展，落实稳经济一揽子政策和接续政策措施，加快释放政策效能，全区经济运行基本稳定。但受疫情冲击，全区主要经济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出现一定波动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，经济运行的韧性和活力有待进一步增强。</w:t>
      </w:r>
    </w:p>
    <w:p>
      <w:pPr>
        <w:pStyle w:val="15"/>
        <w:widowControl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主要经济指标完成情况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（一）地区生产总值。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1-12月份，全区地区生产总值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增速为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0.9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。其中，第一产业增加值同比增长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0.8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%；第二产业增加值同比</w:t>
      </w:r>
      <w:r>
        <w:rPr>
          <w:rFonts w:ascii="Times New Roman" w:hAnsi="Times New Roman" w:eastAsia="仿宋_GB2312" w:cs="Times New Roman"/>
          <w:sz w:val="32"/>
          <w:szCs w:val="32"/>
        </w:rPr>
        <w:t>下降2.8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%；第三产业增加值同比</w:t>
      </w:r>
      <w:r>
        <w:rPr>
          <w:rFonts w:ascii="Times New Roman" w:hAnsi="Times New Roman" w:eastAsia="仿宋_GB2312" w:cs="Times New Roman"/>
          <w:sz w:val="32"/>
          <w:szCs w:val="32"/>
        </w:rPr>
        <w:t>下降0.4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%。全区三次产业结构比例为</w:t>
      </w:r>
      <w:r>
        <w:rPr>
          <w:rFonts w:ascii="Times New Roman" w:hAnsi="Times New Roman" w:eastAsia="仿宋_GB2312" w:cs="Times New Roman"/>
          <w:sz w:val="32"/>
          <w:szCs w:val="32"/>
        </w:rPr>
        <w:t>0.06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21.67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78.27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（二）规模以上工业。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1-12月，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规模以上工业增加值同比下降5.2%。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（三）固定资产投资。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1-12月，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固定资产投资同比下降16.3%。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（四）社会消费品零售总额。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1-12月，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社会消费品零售总额完成482.5亿元，同比下降3.3%。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（五）房地产销售面积。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1-12月，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房地产销售面积完成107.2万平方米，同比下降35%。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（六）建筑业总产值。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建筑业总产值完成433.5亿元，同比增长11%。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</w:rPr>
        <w:t>（七）其他营利性服务业。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1-11月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规模以上其他营利性服务业营业收入累计完成62.3亿元，同比下降13.9%。软件和信息技术服务业营业收入累计完成20.6亿元，同比增长13.5%。</w:t>
      </w:r>
    </w:p>
    <w:p>
      <w:pPr>
        <w:pStyle w:val="15"/>
        <w:widowControl w:val="0"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二、主要经济指标运行情况</w:t>
      </w:r>
    </w:p>
    <w:p>
      <w:pPr>
        <w:pStyle w:val="16"/>
        <w:spacing w:line="600" w:lineRule="exact"/>
        <w:ind w:left="0" w:firstLine="640" w:firstLineChars="200"/>
        <w:rPr>
          <w:rFonts w:ascii="楷体_GB2312" w:hAnsi="楷体_GB2312" w:eastAsia="楷体_GB2312" w:cs="楷体_GB2312"/>
          <w:color w:val="000000"/>
          <w:kern w:val="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Cs w:val="32"/>
        </w:rPr>
        <w:t>（一）规模以上工业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1-12月，工业六大主导产业完成增加值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17.05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9.4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%，占比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55.56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%，下拉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下降5.34个百分点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，其中，现代食品制造业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14家，完成增加值13.21亿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下降5.3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下拉全区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工业增长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2.24个百分点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；装备制造业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30家，完成增加值3.2亿元，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同比下降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19.7%，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拉全区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工业下降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2.41个百分点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；战略性新兴产业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家，完成增加值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0.27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%，下拉工业下降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0.25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个百分点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pStyle w:val="19"/>
        <w:spacing w:line="600" w:lineRule="exact"/>
        <w:ind w:left="0" w:leftChars="0" w:firstLine="0" w:firstLineChars="0"/>
        <w:rPr>
          <w:rFonts w:ascii="Times New Roman" w:hAnsi="Times New Roman" w:eastAsia="仿宋_GB2312" w:cs="Times New Roman"/>
          <w:color w:val="000000"/>
          <w:kern w:val="0"/>
          <w:lang w:bidi="ar-SA"/>
        </w:rPr>
      </w:pP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全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区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11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家大中型企业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完成增加值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23.04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占全区比重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75.09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%，同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比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下降2.7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%，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下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拉动全区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工业</w:t>
      </w:r>
      <w:r>
        <w:rPr>
          <w:rFonts w:ascii="Times New Roman" w:hAnsi="Times New Roman" w:eastAsia="仿宋_GB2312" w:cs="Times New Roman"/>
          <w:color w:val="000000"/>
          <w:kern w:val="0"/>
          <w:lang w:bidi="ar-SA"/>
        </w:rPr>
        <w:t>1.97</w:t>
      </w:r>
      <w:r>
        <w:rPr>
          <w:rFonts w:ascii="Times New Roman" w:hAnsi="Times New Roman" w:eastAsia="仿宋_GB2312" w:cs="Times New Roman"/>
          <w:color w:val="000000"/>
          <w:kern w:val="0"/>
          <w:lang w:val="en-US" w:bidi="ar-SA"/>
        </w:rPr>
        <w:t>个百分点</w:t>
      </w:r>
      <w:r>
        <w:rPr>
          <w:rFonts w:hint="eastAsia" w:ascii="Times New Roman" w:hAnsi="Times New Roman" w:eastAsia="仿宋_GB2312" w:cs="Times New Roman"/>
          <w:color w:val="000000"/>
          <w:kern w:val="0"/>
          <w:lang w:val="en-US" w:bidi="ar-SA"/>
        </w:rPr>
        <w:t>。</w:t>
      </w:r>
    </w:p>
    <w:p>
      <w:pPr>
        <w:pStyle w:val="9"/>
        <w:spacing w:line="600" w:lineRule="exact"/>
        <w:ind w:firstLine="64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（二）固定资产投资</w:t>
      </w:r>
    </w:p>
    <w:p>
      <w:pPr>
        <w:pStyle w:val="16"/>
        <w:spacing w:line="600" w:lineRule="exact"/>
        <w:ind w:left="0" w:firstLine="640" w:firstLineChars="200"/>
        <w:rPr>
          <w:rFonts w:eastAsia="仿宋_GB2312" w:cs="Times New Roman"/>
          <w:color w:val="000000"/>
          <w:kern w:val="0"/>
          <w:szCs w:val="32"/>
        </w:rPr>
      </w:pPr>
      <w:r>
        <w:rPr>
          <w:rFonts w:hint="eastAsia" w:eastAsia="仿宋_GB2312" w:cs="Times New Roman"/>
          <w:color w:val="000000"/>
          <w:kern w:val="0"/>
          <w:szCs w:val="32"/>
        </w:rPr>
        <w:t>1-12月，工业投资完成</w:t>
      </w:r>
      <w:r>
        <w:rPr>
          <w:rFonts w:eastAsia="仿宋_GB2312" w:cs="Times New Roman"/>
          <w:color w:val="000000"/>
          <w:kern w:val="0"/>
          <w:szCs w:val="32"/>
        </w:rPr>
        <w:t>21.72</w:t>
      </w:r>
      <w:r>
        <w:rPr>
          <w:rFonts w:hint="eastAsia" w:eastAsia="仿宋_GB2312" w:cs="Times New Roman"/>
          <w:color w:val="000000"/>
          <w:kern w:val="0"/>
          <w:szCs w:val="32"/>
        </w:rPr>
        <w:t>亿元，同比</w:t>
      </w:r>
      <w:r>
        <w:rPr>
          <w:rFonts w:eastAsia="仿宋_GB2312" w:cs="Times New Roman"/>
          <w:color w:val="000000"/>
          <w:kern w:val="0"/>
          <w:szCs w:val="32"/>
        </w:rPr>
        <w:t>下降31.3</w:t>
      </w:r>
      <w:r>
        <w:rPr>
          <w:rFonts w:hint="eastAsia" w:eastAsia="仿宋_GB2312" w:cs="Times New Roman"/>
          <w:color w:val="000000"/>
          <w:kern w:val="0"/>
          <w:szCs w:val="32"/>
        </w:rPr>
        <w:t>%，占比</w:t>
      </w:r>
      <w:r>
        <w:rPr>
          <w:rFonts w:eastAsia="仿宋_GB2312" w:cs="Times New Roman"/>
          <w:color w:val="000000"/>
          <w:kern w:val="0"/>
          <w:szCs w:val="32"/>
        </w:rPr>
        <w:t>8</w:t>
      </w:r>
      <w:r>
        <w:rPr>
          <w:rFonts w:hint="eastAsia" w:eastAsia="仿宋_GB2312" w:cs="Times New Roman"/>
          <w:color w:val="000000"/>
          <w:kern w:val="0"/>
          <w:szCs w:val="32"/>
        </w:rPr>
        <w:t>%，较1-11月回落</w:t>
      </w:r>
      <w:r>
        <w:rPr>
          <w:rFonts w:eastAsia="仿宋_GB2312" w:cs="Times New Roman"/>
          <w:color w:val="000000"/>
          <w:kern w:val="0"/>
          <w:szCs w:val="32"/>
        </w:rPr>
        <w:t>21.7</w:t>
      </w:r>
      <w:r>
        <w:rPr>
          <w:rFonts w:hint="eastAsia" w:eastAsia="仿宋_GB2312" w:cs="Times New Roman"/>
          <w:color w:val="000000"/>
          <w:kern w:val="0"/>
          <w:szCs w:val="32"/>
        </w:rPr>
        <w:t>个百分点，其中，工业技改投资完成</w:t>
      </w:r>
      <w:r>
        <w:rPr>
          <w:rFonts w:eastAsia="仿宋_GB2312" w:cs="Times New Roman"/>
          <w:color w:val="000000"/>
          <w:kern w:val="0"/>
          <w:szCs w:val="32"/>
        </w:rPr>
        <w:t>5.91</w:t>
      </w:r>
      <w:r>
        <w:rPr>
          <w:rFonts w:hint="eastAsia" w:eastAsia="仿宋_GB2312" w:cs="Times New Roman"/>
          <w:color w:val="000000"/>
          <w:kern w:val="0"/>
          <w:szCs w:val="32"/>
        </w:rPr>
        <w:t>亿元，同比</w:t>
      </w:r>
      <w:r>
        <w:rPr>
          <w:rFonts w:eastAsia="仿宋_GB2312" w:cs="Times New Roman"/>
          <w:color w:val="000000"/>
          <w:kern w:val="0"/>
          <w:szCs w:val="32"/>
        </w:rPr>
        <w:t>下降78.2</w:t>
      </w:r>
      <w:r>
        <w:rPr>
          <w:rFonts w:hint="eastAsia" w:eastAsia="仿宋_GB2312" w:cs="Times New Roman"/>
          <w:color w:val="000000"/>
          <w:kern w:val="0"/>
          <w:szCs w:val="32"/>
        </w:rPr>
        <w:t>%，占比</w:t>
      </w:r>
      <w:r>
        <w:rPr>
          <w:rFonts w:eastAsia="仿宋_GB2312" w:cs="Times New Roman"/>
          <w:color w:val="000000"/>
          <w:kern w:val="0"/>
          <w:szCs w:val="32"/>
        </w:rPr>
        <w:t>2.2</w:t>
      </w:r>
      <w:r>
        <w:rPr>
          <w:rFonts w:hint="eastAsia" w:eastAsia="仿宋_GB2312" w:cs="Times New Roman"/>
          <w:color w:val="000000"/>
          <w:kern w:val="0"/>
          <w:szCs w:val="32"/>
        </w:rPr>
        <w:t>%；建安投资完成</w:t>
      </w:r>
      <w:r>
        <w:rPr>
          <w:rFonts w:eastAsia="仿宋_GB2312" w:cs="Times New Roman"/>
          <w:color w:val="000000"/>
          <w:kern w:val="0"/>
          <w:szCs w:val="32"/>
        </w:rPr>
        <w:t>189.13</w:t>
      </w:r>
      <w:r>
        <w:rPr>
          <w:rFonts w:hint="eastAsia" w:eastAsia="仿宋_GB2312" w:cs="Times New Roman"/>
          <w:color w:val="000000"/>
          <w:kern w:val="0"/>
          <w:szCs w:val="32"/>
        </w:rPr>
        <w:t>亿元，同比</w:t>
      </w:r>
      <w:r>
        <w:rPr>
          <w:rFonts w:eastAsia="仿宋_GB2312" w:cs="Times New Roman"/>
          <w:color w:val="000000"/>
          <w:kern w:val="0"/>
          <w:szCs w:val="32"/>
        </w:rPr>
        <w:t>下降10.4</w:t>
      </w:r>
      <w:r>
        <w:rPr>
          <w:rFonts w:hint="eastAsia" w:eastAsia="仿宋_GB2312" w:cs="Times New Roman"/>
          <w:color w:val="000000"/>
          <w:kern w:val="0"/>
          <w:szCs w:val="32"/>
        </w:rPr>
        <w:t>%，占比</w:t>
      </w:r>
      <w:r>
        <w:rPr>
          <w:rFonts w:eastAsia="仿宋_GB2312" w:cs="Times New Roman"/>
          <w:color w:val="000000"/>
          <w:kern w:val="0"/>
          <w:szCs w:val="32"/>
        </w:rPr>
        <w:t>69.8</w:t>
      </w:r>
      <w:r>
        <w:rPr>
          <w:rFonts w:hint="eastAsia" w:eastAsia="仿宋_GB2312" w:cs="Times New Roman"/>
          <w:color w:val="000000"/>
          <w:kern w:val="0"/>
          <w:szCs w:val="32"/>
        </w:rPr>
        <w:t>%；房地产投资完成</w:t>
      </w:r>
      <w:r>
        <w:rPr>
          <w:rFonts w:eastAsia="仿宋_GB2312" w:cs="Times New Roman"/>
          <w:color w:val="000000"/>
          <w:kern w:val="0"/>
          <w:szCs w:val="32"/>
        </w:rPr>
        <w:t>147.42</w:t>
      </w:r>
      <w:r>
        <w:rPr>
          <w:rFonts w:hint="eastAsia" w:eastAsia="仿宋_GB2312" w:cs="Times New Roman"/>
          <w:color w:val="000000"/>
          <w:kern w:val="0"/>
          <w:szCs w:val="32"/>
        </w:rPr>
        <w:t>亿元，同比下降</w:t>
      </w:r>
      <w:r>
        <w:rPr>
          <w:rFonts w:eastAsia="仿宋_GB2312" w:cs="Times New Roman"/>
          <w:color w:val="000000"/>
          <w:kern w:val="0"/>
          <w:szCs w:val="32"/>
        </w:rPr>
        <w:t>22.2</w:t>
      </w:r>
      <w:r>
        <w:rPr>
          <w:rFonts w:hint="eastAsia" w:eastAsia="仿宋_GB2312" w:cs="Times New Roman"/>
          <w:color w:val="000000"/>
          <w:kern w:val="0"/>
          <w:szCs w:val="32"/>
        </w:rPr>
        <w:t>%；基础设施投资完成</w:t>
      </w:r>
      <w:r>
        <w:rPr>
          <w:rFonts w:eastAsia="仿宋_GB2312" w:cs="Times New Roman"/>
          <w:color w:val="000000"/>
          <w:kern w:val="0"/>
          <w:szCs w:val="32"/>
        </w:rPr>
        <w:t>61.29</w:t>
      </w:r>
      <w:r>
        <w:rPr>
          <w:rFonts w:hint="eastAsia" w:eastAsia="仿宋_GB2312" w:cs="Times New Roman"/>
          <w:color w:val="000000"/>
          <w:kern w:val="0"/>
          <w:szCs w:val="32"/>
        </w:rPr>
        <w:t>亿元，同比</w:t>
      </w:r>
      <w:r>
        <w:rPr>
          <w:rFonts w:eastAsia="仿宋_GB2312" w:cs="Times New Roman"/>
          <w:color w:val="000000"/>
          <w:kern w:val="0"/>
          <w:szCs w:val="32"/>
        </w:rPr>
        <w:t>下降3.8</w:t>
      </w:r>
      <w:r>
        <w:rPr>
          <w:rFonts w:hint="eastAsia" w:eastAsia="仿宋_GB2312" w:cs="Times New Roman"/>
          <w:color w:val="000000"/>
          <w:kern w:val="0"/>
          <w:szCs w:val="32"/>
        </w:rPr>
        <w:t>%，占比</w:t>
      </w:r>
      <w:r>
        <w:rPr>
          <w:rFonts w:eastAsia="仿宋_GB2312" w:cs="Times New Roman"/>
          <w:color w:val="000000"/>
          <w:kern w:val="0"/>
          <w:szCs w:val="32"/>
        </w:rPr>
        <w:t>22.6</w:t>
      </w:r>
      <w:r>
        <w:rPr>
          <w:rFonts w:hint="eastAsia" w:eastAsia="仿宋_GB2312" w:cs="Times New Roman"/>
          <w:color w:val="000000"/>
          <w:kern w:val="0"/>
          <w:szCs w:val="32"/>
        </w:rPr>
        <w:t>%。</w:t>
      </w:r>
    </w:p>
    <w:p>
      <w:pPr>
        <w:pStyle w:val="15"/>
        <w:widowControl w:val="0"/>
        <w:spacing w:line="600" w:lineRule="exact"/>
        <w:ind w:firstLine="640" w:firstLineChars="200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（三）社会消费品零售总额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类有零售的商品类别中，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累计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同比正增长的共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类，其中亿元以上有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类，累计增速超20%的有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类，分别是：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化妆品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类同比增长</w:t>
      </w:r>
      <w:r>
        <w:rPr>
          <w:rFonts w:ascii="Times New Roman" w:hAnsi="Times New Roman" w:eastAsia="仿宋_GB2312" w:cs="Times New Roman"/>
          <w:sz w:val="32"/>
          <w:szCs w:val="32"/>
        </w:rPr>
        <w:t>45.1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%、</w:t>
      </w:r>
      <w:r>
        <w:rPr>
          <w:rFonts w:ascii="Times New Roman" w:hAnsi="Times New Roman" w:eastAsia="仿宋_GB2312" w:cs="Times New Roman"/>
          <w:sz w:val="32"/>
          <w:szCs w:val="32"/>
        </w:rPr>
        <w:t>书报杂志类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同比增长</w:t>
      </w:r>
      <w:r>
        <w:rPr>
          <w:rFonts w:ascii="Times New Roman" w:hAnsi="Times New Roman" w:eastAsia="仿宋_GB2312" w:cs="Times New Roman"/>
          <w:sz w:val="32"/>
          <w:szCs w:val="32"/>
        </w:rPr>
        <w:t>290.4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，负增长的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类，其中下降增速超20%的有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类，分别是：服装、鞋帽、针纺织品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同比下降</w:t>
      </w:r>
      <w:r>
        <w:rPr>
          <w:rFonts w:ascii="Times New Roman" w:hAnsi="Times New Roman" w:eastAsia="仿宋_GB2312" w:cs="Times New Roman"/>
          <w:sz w:val="32"/>
          <w:szCs w:val="32"/>
        </w:rPr>
        <w:t>41.9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%、五金、电料类同比下降</w:t>
      </w:r>
      <w:r>
        <w:rPr>
          <w:rFonts w:ascii="Times New Roman" w:hAnsi="Times New Roman" w:eastAsia="仿宋_GB2312" w:cs="Times New Roman"/>
          <w:sz w:val="32"/>
          <w:szCs w:val="32"/>
        </w:rPr>
        <w:t>50.5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%、 体育、娱乐用品类同比下降</w:t>
      </w:r>
      <w:r>
        <w:rPr>
          <w:rFonts w:ascii="Times New Roman" w:hAnsi="Times New Roman" w:eastAsia="仿宋_GB2312" w:cs="Times New Roman"/>
          <w:sz w:val="32"/>
          <w:szCs w:val="32"/>
        </w:rPr>
        <w:t>30.9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、电子出版物及音像制品类同比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下降</w:t>
      </w:r>
      <w:r>
        <w:rPr>
          <w:rFonts w:ascii="Times New Roman" w:hAnsi="Times New Roman" w:eastAsia="仿宋_GB2312" w:cs="Times New Roman"/>
          <w:sz w:val="32"/>
          <w:szCs w:val="32"/>
        </w:rPr>
        <w:t>75.3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、文化办公用品类同比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下降</w:t>
      </w:r>
      <w:r>
        <w:rPr>
          <w:rFonts w:ascii="Times New Roman" w:hAnsi="Times New Roman" w:eastAsia="仿宋_GB2312" w:cs="Times New Roman"/>
          <w:sz w:val="32"/>
          <w:szCs w:val="32"/>
        </w:rPr>
        <w:t>24.4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、通讯器材类同比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下降</w:t>
      </w:r>
      <w:r>
        <w:rPr>
          <w:rFonts w:ascii="Times New Roman" w:hAnsi="Times New Roman" w:eastAsia="仿宋_GB2312" w:cs="Times New Roman"/>
          <w:sz w:val="32"/>
          <w:szCs w:val="32"/>
        </w:rPr>
        <w:t>27.5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sz w:val="32"/>
          <w:szCs w:val="32"/>
        </w:rPr>
        <w:t>、其他未列明商品类同比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下降</w:t>
      </w:r>
      <w:r>
        <w:rPr>
          <w:rFonts w:ascii="Times New Roman" w:hAnsi="Times New Roman" w:eastAsia="仿宋_GB2312" w:cs="Times New Roman"/>
          <w:sz w:val="32"/>
          <w:szCs w:val="32"/>
        </w:rPr>
        <w:t>23.2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限额以上批发业零售额累计完成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8.4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下降33.3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%；零售业零售额累计完成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143.16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下降4.6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限额以上住宿业零售额累计完成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0.6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37.8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%；餐饮业零售额累计完成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亿元，同比下降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32.5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%。</w:t>
      </w:r>
    </w:p>
    <w:p>
      <w:pPr>
        <w:pStyle w:val="12"/>
        <w:autoSpaceDE w:val="0"/>
        <w:spacing w:before="0" w:beforeAutospacing="0" w:after="0" w:afterAutospacing="0" w:line="560" w:lineRule="exact"/>
        <w:ind w:firstLine="640" w:firstLineChars="200"/>
        <w:textAlignment w:val="baseline"/>
        <w:rPr>
          <w:rFonts w:ascii="Times New Roman" w:hAnsi="Times New Roman" w:eastAsia="楷体_GB2312" w:cs="Times New Roman"/>
          <w:color w:val="000000"/>
          <w:kern w:val="2"/>
          <w:sz w:val="32"/>
          <w:szCs w:val="32"/>
        </w:rPr>
      </w:pPr>
      <w:r>
        <w:rPr>
          <w:rFonts w:ascii="楷体_GB2312" w:hAnsi="Times New Roman" w:eastAsia="楷体_GB2312" w:cs="楷体_GB2312"/>
          <w:color w:val="000000"/>
          <w:kern w:val="2"/>
          <w:sz w:val="32"/>
          <w:szCs w:val="32"/>
        </w:rPr>
        <w:t>（四）服务业</w:t>
      </w:r>
    </w:p>
    <w:p>
      <w:pPr>
        <w:autoSpaceDE w:val="0"/>
        <w:spacing w:line="560" w:lineRule="exact"/>
        <w:ind w:firstLine="640" w:firstLineChars="200"/>
        <w:jc w:val="left"/>
      </w:pPr>
      <w:r>
        <w:rPr>
          <w:rFonts w:ascii="仿宋" w:hAnsi="仿宋" w:eastAsia="仿宋" w:cs="仿宋"/>
          <w:sz w:val="32"/>
          <w:szCs w:val="32"/>
        </w:rPr>
        <w:t>租赁和商务服务业保持平稳增长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1-11</w:t>
      </w:r>
      <w:r>
        <w:rPr>
          <w:rFonts w:ascii="仿宋" w:hAnsi="仿宋" w:eastAsia="仿宋" w:cs="仿宋"/>
          <w:sz w:val="32"/>
          <w:szCs w:val="32"/>
        </w:rPr>
        <w:t>月，租赁和商务服务业实现营业收入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ascii="仿宋" w:hAnsi="仿宋" w:eastAsia="仿宋" w:cs="仿宋"/>
          <w:sz w:val="32"/>
          <w:szCs w:val="32"/>
        </w:rPr>
        <w:t>亿元，同比增长</w:t>
      </w:r>
      <w:r>
        <w:rPr>
          <w:rFonts w:ascii="Times New Roman" w:hAnsi="Times New Roman" w:eastAsia="仿宋" w:cs="Times New Roman"/>
          <w:sz w:val="32"/>
          <w:szCs w:val="32"/>
        </w:rPr>
        <w:t>3.3%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拉动全区营利性服务业增长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个百分点。</w:t>
      </w:r>
      <w:r>
        <w:rPr>
          <w:rFonts w:ascii="Times New Roman" w:hAnsi="Times New Roman" w:eastAsia="仿宋" w:cs="Times New Roman"/>
          <w:sz w:val="32"/>
          <w:szCs w:val="32"/>
        </w:rPr>
        <w:t>1-11</w:t>
      </w:r>
      <w:r>
        <w:rPr>
          <w:rFonts w:ascii="仿宋" w:hAnsi="仿宋" w:eastAsia="仿宋" w:cs="仿宋"/>
          <w:sz w:val="32"/>
          <w:szCs w:val="32"/>
        </w:rPr>
        <w:t>月，科学研究和技术服务业实现营业收入</w:t>
      </w:r>
      <w:r>
        <w:rPr>
          <w:rFonts w:ascii="Times New Roman" w:hAnsi="Times New Roman" w:eastAsia="仿宋" w:cs="Times New Roman"/>
          <w:sz w:val="32"/>
          <w:szCs w:val="32"/>
        </w:rPr>
        <w:t>21.6</w:t>
      </w:r>
      <w:r>
        <w:rPr>
          <w:rFonts w:ascii="仿宋" w:hAnsi="仿宋" w:eastAsia="仿宋" w:cs="仿宋"/>
          <w:sz w:val="32"/>
          <w:szCs w:val="32"/>
        </w:rPr>
        <w:t>亿元，同比下降</w:t>
      </w:r>
      <w:r>
        <w:rPr>
          <w:rFonts w:ascii="Times New Roman" w:hAnsi="Times New Roman" w:eastAsia="仿宋" w:cs="Times New Roman"/>
          <w:sz w:val="32"/>
          <w:szCs w:val="32"/>
        </w:rPr>
        <w:t>33.4%</w:t>
      </w:r>
      <w:r>
        <w:rPr>
          <w:rFonts w:ascii="仿宋" w:hAnsi="仿宋" w:eastAsia="仿宋" w:cs="仿宋"/>
          <w:sz w:val="32"/>
          <w:szCs w:val="32"/>
        </w:rPr>
        <w:t>。居民服务、修理和其他服务业，文化、体育和娱乐业，两类行业规上在库企业数量少，规模较小，且受疫情影响较大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营收同比下降幅度较大，分别下降</w:t>
      </w:r>
      <w:r>
        <w:rPr>
          <w:rFonts w:ascii="Times New Roman" w:hAnsi="Times New Roman" w:eastAsia="仿宋" w:cs="Times New Roman"/>
          <w:sz w:val="32"/>
          <w:szCs w:val="32"/>
        </w:rPr>
        <w:t>36.2%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47.8%</w:t>
      </w:r>
      <w:r>
        <w:rPr>
          <w:rFonts w:ascii="仿宋" w:hAnsi="仿宋" w:eastAsia="仿宋" w:cs="仿宋"/>
          <w:sz w:val="32"/>
          <w:szCs w:val="32"/>
        </w:rPr>
        <w:t>。互联网、软件和信息技术服务业保持高速增长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1-11月</w:t>
      </w:r>
      <w:r>
        <w:rPr>
          <w:rFonts w:ascii="仿宋" w:hAnsi="仿宋" w:eastAsia="仿宋" w:cs="仿宋"/>
          <w:sz w:val="32"/>
          <w:szCs w:val="32"/>
        </w:rPr>
        <w:t>实现营业收入</w:t>
      </w:r>
      <w:r>
        <w:rPr>
          <w:rFonts w:ascii="Times New Roman" w:hAnsi="Times New Roman" w:eastAsia="仿宋" w:cs="Times New Roman"/>
          <w:sz w:val="32"/>
          <w:szCs w:val="32"/>
        </w:rPr>
        <w:t>20.6</w:t>
      </w:r>
      <w:r>
        <w:rPr>
          <w:rFonts w:ascii="仿宋" w:hAnsi="仿宋" w:eastAsia="仿宋" w:cs="仿宋"/>
          <w:sz w:val="32"/>
          <w:szCs w:val="32"/>
        </w:rPr>
        <w:t>亿元，同比增长</w:t>
      </w:r>
      <w:r>
        <w:rPr>
          <w:rFonts w:ascii="Times New Roman" w:hAnsi="Times New Roman" w:eastAsia="仿宋" w:cs="Times New Roman"/>
          <w:sz w:val="32"/>
          <w:szCs w:val="32"/>
        </w:rPr>
        <w:t>13.5%</w:t>
      </w:r>
      <w:r>
        <w:rPr>
          <w:rFonts w:ascii="仿宋" w:hAnsi="仿宋" w:eastAsia="仿宋" w:cs="仿宋"/>
          <w:sz w:val="32"/>
          <w:szCs w:val="32"/>
        </w:rPr>
        <w:t>，拉动全区营利性服务业增长</w:t>
      </w:r>
      <w:r>
        <w:rPr>
          <w:rFonts w:ascii="Times New Roman" w:hAnsi="Times New Roman" w:eastAsia="仿宋" w:cs="Times New Roman"/>
          <w:sz w:val="32"/>
          <w:szCs w:val="32"/>
        </w:rPr>
        <w:t>2.7</w:t>
      </w:r>
      <w:r>
        <w:rPr>
          <w:rFonts w:ascii="仿宋" w:hAnsi="仿宋" w:eastAsia="仿宋" w:cs="仿宋"/>
          <w:sz w:val="32"/>
          <w:szCs w:val="32"/>
        </w:rPr>
        <w:t>个百分点，连续五个月保持两位数增速，支撑作用明显。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MTZhMTYzMzI2ZDEzNDc4ZjAwYzRkMzczZDAzMzEifQ=="/>
  </w:docVars>
  <w:rsids>
    <w:rsidRoot w:val="3C39267F"/>
    <w:rsid w:val="00044EF2"/>
    <w:rsid w:val="00061195"/>
    <w:rsid w:val="00101007"/>
    <w:rsid w:val="0010723A"/>
    <w:rsid w:val="0017185A"/>
    <w:rsid w:val="00173283"/>
    <w:rsid w:val="00187DF9"/>
    <w:rsid w:val="001913AC"/>
    <w:rsid w:val="0022181C"/>
    <w:rsid w:val="002253DD"/>
    <w:rsid w:val="00261728"/>
    <w:rsid w:val="0027184A"/>
    <w:rsid w:val="002774BE"/>
    <w:rsid w:val="00310D16"/>
    <w:rsid w:val="00317728"/>
    <w:rsid w:val="00322750"/>
    <w:rsid w:val="003506E2"/>
    <w:rsid w:val="003530FD"/>
    <w:rsid w:val="00383574"/>
    <w:rsid w:val="003C507B"/>
    <w:rsid w:val="003E6559"/>
    <w:rsid w:val="00436CD4"/>
    <w:rsid w:val="0045175B"/>
    <w:rsid w:val="00475D38"/>
    <w:rsid w:val="004B1635"/>
    <w:rsid w:val="004B44C8"/>
    <w:rsid w:val="004D7985"/>
    <w:rsid w:val="004F0889"/>
    <w:rsid w:val="00523984"/>
    <w:rsid w:val="00536B17"/>
    <w:rsid w:val="00581316"/>
    <w:rsid w:val="005D2F22"/>
    <w:rsid w:val="005D49EA"/>
    <w:rsid w:val="006071F2"/>
    <w:rsid w:val="0063636A"/>
    <w:rsid w:val="00640682"/>
    <w:rsid w:val="006545B1"/>
    <w:rsid w:val="00656599"/>
    <w:rsid w:val="00665FFF"/>
    <w:rsid w:val="00666F23"/>
    <w:rsid w:val="006C3707"/>
    <w:rsid w:val="006F37D7"/>
    <w:rsid w:val="00743BC3"/>
    <w:rsid w:val="007741C1"/>
    <w:rsid w:val="007B0BCB"/>
    <w:rsid w:val="008038B1"/>
    <w:rsid w:val="00817FE7"/>
    <w:rsid w:val="00820CEB"/>
    <w:rsid w:val="008358E2"/>
    <w:rsid w:val="008B6E02"/>
    <w:rsid w:val="00932D48"/>
    <w:rsid w:val="00942ECA"/>
    <w:rsid w:val="00973DD2"/>
    <w:rsid w:val="009D61F0"/>
    <w:rsid w:val="00A204E8"/>
    <w:rsid w:val="00A44AC1"/>
    <w:rsid w:val="00A87CB3"/>
    <w:rsid w:val="00B04A7F"/>
    <w:rsid w:val="00B11066"/>
    <w:rsid w:val="00B5610F"/>
    <w:rsid w:val="00B704F6"/>
    <w:rsid w:val="00B802DD"/>
    <w:rsid w:val="00BD40ED"/>
    <w:rsid w:val="00C1502B"/>
    <w:rsid w:val="00C40AC1"/>
    <w:rsid w:val="00CA46BB"/>
    <w:rsid w:val="00CB104F"/>
    <w:rsid w:val="00CC02E7"/>
    <w:rsid w:val="00CE0610"/>
    <w:rsid w:val="00CE31C1"/>
    <w:rsid w:val="00D16935"/>
    <w:rsid w:val="00D655C2"/>
    <w:rsid w:val="00D81375"/>
    <w:rsid w:val="00DA56D1"/>
    <w:rsid w:val="00DA6EF0"/>
    <w:rsid w:val="00DA73C6"/>
    <w:rsid w:val="00DD09F3"/>
    <w:rsid w:val="00DE508B"/>
    <w:rsid w:val="00E148C3"/>
    <w:rsid w:val="00E22A32"/>
    <w:rsid w:val="00E358C8"/>
    <w:rsid w:val="00E632C7"/>
    <w:rsid w:val="00EB67FE"/>
    <w:rsid w:val="00F34A07"/>
    <w:rsid w:val="00F51D26"/>
    <w:rsid w:val="00F777FE"/>
    <w:rsid w:val="00FD1FD2"/>
    <w:rsid w:val="013975DA"/>
    <w:rsid w:val="01DD53DB"/>
    <w:rsid w:val="020531A4"/>
    <w:rsid w:val="023462F0"/>
    <w:rsid w:val="029878A4"/>
    <w:rsid w:val="02994EF5"/>
    <w:rsid w:val="02C72207"/>
    <w:rsid w:val="030B754E"/>
    <w:rsid w:val="031D5CA0"/>
    <w:rsid w:val="037C6E58"/>
    <w:rsid w:val="04692E75"/>
    <w:rsid w:val="048C4DF7"/>
    <w:rsid w:val="049C687C"/>
    <w:rsid w:val="04AB2249"/>
    <w:rsid w:val="04B862D6"/>
    <w:rsid w:val="04BE2A21"/>
    <w:rsid w:val="04DB3374"/>
    <w:rsid w:val="05177476"/>
    <w:rsid w:val="05243C29"/>
    <w:rsid w:val="05304471"/>
    <w:rsid w:val="05690DE1"/>
    <w:rsid w:val="05916FD4"/>
    <w:rsid w:val="05973A62"/>
    <w:rsid w:val="059E2C78"/>
    <w:rsid w:val="061B0AAF"/>
    <w:rsid w:val="06A44D39"/>
    <w:rsid w:val="06E93094"/>
    <w:rsid w:val="071031CA"/>
    <w:rsid w:val="07352E4A"/>
    <w:rsid w:val="073B1013"/>
    <w:rsid w:val="080739B8"/>
    <w:rsid w:val="0845320A"/>
    <w:rsid w:val="08516F9A"/>
    <w:rsid w:val="086B7C7E"/>
    <w:rsid w:val="087613B7"/>
    <w:rsid w:val="08A53BB4"/>
    <w:rsid w:val="09383E5F"/>
    <w:rsid w:val="09A738B5"/>
    <w:rsid w:val="09B90252"/>
    <w:rsid w:val="09FF1C9E"/>
    <w:rsid w:val="0A6540C7"/>
    <w:rsid w:val="0A6C259E"/>
    <w:rsid w:val="0A7E4788"/>
    <w:rsid w:val="0AE804DF"/>
    <w:rsid w:val="0AEF242E"/>
    <w:rsid w:val="0B633B0A"/>
    <w:rsid w:val="0B6A64BB"/>
    <w:rsid w:val="0BF422BF"/>
    <w:rsid w:val="0BFE3251"/>
    <w:rsid w:val="0C177DD8"/>
    <w:rsid w:val="0C190AAA"/>
    <w:rsid w:val="0C3F40BB"/>
    <w:rsid w:val="0C416D9B"/>
    <w:rsid w:val="0C6A2581"/>
    <w:rsid w:val="0CB11F5E"/>
    <w:rsid w:val="0CBB426A"/>
    <w:rsid w:val="0D235986"/>
    <w:rsid w:val="0D5A4C50"/>
    <w:rsid w:val="0D9B2FA2"/>
    <w:rsid w:val="0DC906E1"/>
    <w:rsid w:val="0DE33E98"/>
    <w:rsid w:val="0E3622C2"/>
    <w:rsid w:val="0F0560BD"/>
    <w:rsid w:val="0F26254A"/>
    <w:rsid w:val="0F387D19"/>
    <w:rsid w:val="1079010E"/>
    <w:rsid w:val="112D04AF"/>
    <w:rsid w:val="113B063E"/>
    <w:rsid w:val="122D02D9"/>
    <w:rsid w:val="1240295C"/>
    <w:rsid w:val="12A63DD0"/>
    <w:rsid w:val="12CB4BB1"/>
    <w:rsid w:val="136316BB"/>
    <w:rsid w:val="141847CE"/>
    <w:rsid w:val="14281E18"/>
    <w:rsid w:val="142E0338"/>
    <w:rsid w:val="14E05FBA"/>
    <w:rsid w:val="14F04D95"/>
    <w:rsid w:val="14F72E20"/>
    <w:rsid w:val="14FE5B07"/>
    <w:rsid w:val="1506079C"/>
    <w:rsid w:val="1532759D"/>
    <w:rsid w:val="15546ED4"/>
    <w:rsid w:val="15977EE3"/>
    <w:rsid w:val="15AE1730"/>
    <w:rsid w:val="15F28448"/>
    <w:rsid w:val="166DEC57"/>
    <w:rsid w:val="167E08A1"/>
    <w:rsid w:val="16E24585"/>
    <w:rsid w:val="17056509"/>
    <w:rsid w:val="17241F7C"/>
    <w:rsid w:val="17394F51"/>
    <w:rsid w:val="17395136"/>
    <w:rsid w:val="17525B69"/>
    <w:rsid w:val="179F7B0C"/>
    <w:rsid w:val="17DF071A"/>
    <w:rsid w:val="17FEBA25"/>
    <w:rsid w:val="18120AB9"/>
    <w:rsid w:val="18455C50"/>
    <w:rsid w:val="19434325"/>
    <w:rsid w:val="19646D72"/>
    <w:rsid w:val="19754001"/>
    <w:rsid w:val="19B43122"/>
    <w:rsid w:val="19F97252"/>
    <w:rsid w:val="1A411BC6"/>
    <w:rsid w:val="1A6C612B"/>
    <w:rsid w:val="1A976B05"/>
    <w:rsid w:val="1A9A4607"/>
    <w:rsid w:val="1AA85DF9"/>
    <w:rsid w:val="1AB37143"/>
    <w:rsid w:val="1AEB6DEE"/>
    <w:rsid w:val="1B100837"/>
    <w:rsid w:val="1B590390"/>
    <w:rsid w:val="1B5DF2E7"/>
    <w:rsid w:val="1B8327A4"/>
    <w:rsid w:val="1B8350C2"/>
    <w:rsid w:val="1B8A42F0"/>
    <w:rsid w:val="1BBE4697"/>
    <w:rsid w:val="1BC308C2"/>
    <w:rsid w:val="1C35274C"/>
    <w:rsid w:val="1C6C1755"/>
    <w:rsid w:val="1CD02550"/>
    <w:rsid w:val="1CF71C0F"/>
    <w:rsid w:val="1D1B51B1"/>
    <w:rsid w:val="1D516F0C"/>
    <w:rsid w:val="1D67139D"/>
    <w:rsid w:val="1DCE2077"/>
    <w:rsid w:val="1DDB7F9B"/>
    <w:rsid w:val="1DF02ABF"/>
    <w:rsid w:val="1DF40D06"/>
    <w:rsid w:val="1EEE4BCB"/>
    <w:rsid w:val="1EFF8678"/>
    <w:rsid w:val="1F024CF0"/>
    <w:rsid w:val="1F1D535C"/>
    <w:rsid w:val="1F441264"/>
    <w:rsid w:val="1F520C6C"/>
    <w:rsid w:val="1F9554B4"/>
    <w:rsid w:val="1FA37140"/>
    <w:rsid w:val="1FB3783A"/>
    <w:rsid w:val="1FFFD5A6"/>
    <w:rsid w:val="204B33DE"/>
    <w:rsid w:val="209B1CEA"/>
    <w:rsid w:val="20AC0EB2"/>
    <w:rsid w:val="20D06977"/>
    <w:rsid w:val="20E53DEA"/>
    <w:rsid w:val="213B315A"/>
    <w:rsid w:val="21A30A32"/>
    <w:rsid w:val="21AA406B"/>
    <w:rsid w:val="21E63A82"/>
    <w:rsid w:val="220501FB"/>
    <w:rsid w:val="22221A7C"/>
    <w:rsid w:val="2227311E"/>
    <w:rsid w:val="22295E3B"/>
    <w:rsid w:val="22723E3E"/>
    <w:rsid w:val="2288721F"/>
    <w:rsid w:val="2295229F"/>
    <w:rsid w:val="22A812DE"/>
    <w:rsid w:val="22DF111C"/>
    <w:rsid w:val="22E20C6B"/>
    <w:rsid w:val="22EB11D0"/>
    <w:rsid w:val="235D2DD3"/>
    <w:rsid w:val="23655450"/>
    <w:rsid w:val="23AE4FF1"/>
    <w:rsid w:val="23B40ECB"/>
    <w:rsid w:val="23B6262B"/>
    <w:rsid w:val="23F63C4E"/>
    <w:rsid w:val="24181A4D"/>
    <w:rsid w:val="243C194B"/>
    <w:rsid w:val="245A04CE"/>
    <w:rsid w:val="25235B6F"/>
    <w:rsid w:val="252F3DCF"/>
    <w:rsid w:val="255B3C04"/>
    <w:rsid w:val="257C688A"/>
    <w:rsid w:val="25DF4E91"/>
    <w:rsid w:val="25E35426"/>
    <w:rsid w:val="25FF5291"/>
    <w:rsid w:val="26451626"/>
    <w:rsid w:val="26F517A1"/>
    <w:rsid w:val="27313E18"/>
    <w:rsid w:val="273801B7"/>
    <w:rsid w:val="274919F3"/>
    <w:rsid w:val="275F13D2"/>
    <w:rsid w:val="278664BE"/>
    <w:rsid w:val="278A123C"/>
    <w:rsid w:val="27B87D25"/>
    <w:rsid w:val="28491F0B"/>
    <w:rsid w:val="28D410F0"/>
    <w:rsid w:val="28F571F9"/>
    <w:rsid w:val="29684C67"/>
    <w:rsid w:val="297F23F7"/>
    <w:rsid w:val="29920060"/>
    <w:rsid w:val="29A729A5"/>
    <w:rsid w:val="2A054DDC"/>
    <w:rsid w:val="2A9A7F07"/>
    <w:rsid w:val="2B7366AB"/>
    <w:rsid w:val="2B7D3E02"/>
    <w:rsid w:val="2B8F3D21"/>
    <w:rsid w:val="2B8F77BD"/>
    <w:rsid w:val="2BE070BE"/>
    <w:rsid w:val="2BE75544"/>
    <w:rsid w:val="2BED7CFF"/>
    <w:rsid w:val="2BFF099C"/>
    <w:rsid w:val="2C6A37DC"/>
    <w:rsid w:val="2C7A3D4E"/>
    <w:rsid w:val="2D182972"/>
    <w:rsid w:val="2D424434"/>
    <w:rsid w:val="2D735AEF"/>
    <w:rsid w:val="2E814420"/>
    <w:rsid w:val="2E93592A"/>
    <w:rsid w:val="2EA015A9"/>
    <w:rsid w:val="2EB55C3C"/>
    <w:rsid w:val="2EE1627B"/>
    <w:rsid w:val="2EFB3EBB"/>
    <w:rsid w:val="2F244EAC"/>
    <w:rsid w:val="2F6173BC"/>
    <w:rsid w:val="2F7401D4"/>
    <w:rsid w:val="2F9934C3"/>
    <w:rsid w:val="2FE92CF2"/>
    <w:rsid w:val="300028FD"/>
    <w:rsid w:val="300C3F98"/>
    <w:rsid w:val="3011493E"/>
    <w:rsid w:val="30DA4D01"/>
    <w:rsid w:val="316C5364"/>
    <w:rsid w:val="318750A6"/>
    <w:rsid w:val="31F76D16"/>
    <w:rsid w:val="31FB15D1"/>
    <w:rsid w:val="32320E99"/>
    <w:rsid w:val="323367E4"/>
    <w:rsid w:val="32797A73"/>
    <w:rsid w:val="32A36B2A"/>
    <w:rsid w:val="32FC6D02"/>
    <w:rsid w:val="33511EC7"/>
    <w:rsid w:val="339F5D29"/>
    <w:rsid w:val="33B35A4E"/>
    <w:rsid w:val="33C96666"/>
    <w:rsid w:val="33CD5CDD"/>
    <w:rsid w:val="33E14812"/>
    <w:rsid w:val="33FD6AB4"/>
    <w:rsid w:val="340C7591"/>
    <w:rsid w:val="34381437"/>
    <w:rsid w:val="34447949"/>
    <w:rsid w:val="346FDCDE"/>
    <w:rsid w:val="34973625"/>
    <w:rsid w:val="34AC587D"/>
    <w:rsid w:val="34E437BE"/>
    <w:rsid w:val="34E75535"/>
    <w:rsid w:val="357A5FA4"/>
    <w:rsid w:val="35BE2BAA"/>
    <w:rsid w:val="35DE52C2"/>
    <w:rsid w:val="35EA11C6"/>
    <w:rsid w:val="35FF790D"/>
    <w:rsid w:val="361E472E"/>
    <w:rsid w:val="36AA5B35"/>
    <w:rsid w:val="36DF5796"/>
    <w:rsid w:val="36FC5039"/>
    <w:rsid w:val="370C5E5F"/>
    <w:rsid w:val="372E3A40"/>
    <w:rsid w:val="378846FB"/>
    <w:rsid w:val="379FEEA8"/>
    <w:rsid w:val="37AD4292"/>
    <w:rsid w:val="37AF3DBB"/>
    <w:rsid w:val="37B0007B"/>
    <w:rsid w:val="37BD742B"/>
    <w:rsid w:val="37D72911"/>
    <w:rsid w:val="37E475CA"/>
    <w:rsid w:val="38107DB0"/>
    <w:rsid w:val="381C6576"/>
    <w:rsid w:val="383458AA"/>
    <w:rsid w:val="383C6C64"/>
    <w:rsid w:val="387375F8"/>
    <w:rsid w:val="38774C72"/>
    <w:rsid w:val="38B07398"/>
    <w:rsid w:val="39450FFE"/>
    <w:rsid w:val="3983340D"/>
    <w:rsid w:val="39FFCABE"/>
    <w:rsid w:val="3A6008F8"/>
    <w:rsid w:val="3A7C67E0"/>
    <w:rsid w:val="3A802231"/>
    <w:rsid w:val="3A9371A3"/>
    <w:rsid w:val="3ABD73DF"/>
    <w:rsid w:val="3B366E5F"/>
    <w:rsid w:val="3BB6E15F"/>
    <w:rsid w:val="3BE0478A"/>
    <w:rsid w:val="3BFB4DC3"/>
    <w:rsid w:val="3C39267F"/>
    <w:rsid w:val="3C8E3385"/>
    <w:rsid w:val="3CA82D19"/>
    <w:rsid w:val="3CAE3612"/>
    <w:rsid w:val="3CE23C8A"/>
    <w:rsid w:val="3CE54A6E"/>
    <w:rsid w:val="3D2637DD"/>
    <w:rsid w:val="3D3E19A2"/>
    <w:rsid w:val="3D3FABF9"/>
    <w:rsid w:val="3D4C16AB"/>
    <w:rsid w:val="3D7F209D"/>
    <w:rsid w:val="3DF07227"/>
    <w:rsid w:val="3E56584E"/>
    <w:rsid w:val="3E6D3D9E"/>
    <w:rsid w:val="3E6F6C39"/>
    <w:rsid w:val="3E9047E2"/>
    <w:rsid w:val="3E9078C4"/>
    <w:rsid w:val="3EB54598"/>
    <w:rsid w:val="3EDB1451"/>
    <w:rsid w:val="3EEA56EC"/>
    <w:rsid w:val="3F161F91"/>
    <w:rsid w:val="3F364E7E"/>
    <w:rsid w:val="3F5F94D9"/>
    <w:rsid w:val="3F6F05FE"/>
    <w:rsid w:val="3F7C37F0"/>
    <w:rsid w:val="3FBC637C"/>
    <w:rsid w:val="3FBF8740"/>
    <w:rsid w:val="3FE74FC5"/>
    <w:rsid w:val="3FEE533E"/>
    <w:rsid w:val="3FF55BF8"/>
    <w:rsid w:val="403C6EB0"/>
    <w:rsid w:val="404A51E9"/>
    <w:rsid w:val="4064002A"/>
    <w:rsid w:val="408D109E"/>
    <w:rsid w:val="40D07831"/>
    <w:rsid w:val="40FD517C"/>
    <w:rsid w:val="40FE54B8"/>
    <w:rsid w:val="418F600A"/>
    <w:rsid w:val="41C71F1F"/>
    <w:rsid w:val="41FB1E49"/>
    <w:rsid w:val="42092979"/>
    <w:rsid w:val="42DD4EE0"/>
    <w:rsid w:val="42E44FA4"/>
    <w:rsid w:val="42F75C15"/>
    <w:rsid w:val="42F81ED3"/>
    <w:rsid w:val="42FB7F01"/>
    <w:rsid w:val="431D1E7A"/>
    <w:rsid w:val="433C187A"/>
    <w:rsid w:val="43500636"/>
    <w:rsid w:val="438309A0"/>
    <w:rsid w:val="4387343D"/>
    <w:rsid w:val="43B67EE8"/>
    <w:rsid w:val="43C4699A"/>
    <w:rsid w:val="43F64890"/>
    <w:rsid w:val="43F70FE6"/>
    <w:rsid w:val="440D4DC1"/>
    <w:rsid w:val="44712B35"/>
    <w:rsid w:val="44D4519D"/>
    <w:rsid w:val="45045C1E"/>
    <w:rsid w:val="453C0F77"/>
    <w:rsid w:val="456C5815"/>
    <w:rsid w:val="45B1654F"/>
    <w:rsid w:val="45CA2AC3"/>
    <w:rsid w:val="45F05E16"/>
    <w:rsid w:val="4622205B"/>
    <w:rsid w:val="46713721"/>
    <w:rsid w:val="46D8477C"/>
    <w:rsid w:val="46E12310"/>
    <w:rsid w:val="47080E6D"/>
    <w:rsid w:val="471B5FBB"/>
    <w:rsid w:val="47480419"/>
    <w:rsid w:val="47621D4A"/>
    <w:rsid w:val="477574AB"/>
    <w:rsid w:val="47F87FE3"/>
    <w:rsid w:val="481B671D"/>
    <w:rsid w:val="48D22598"/>
    <w:rsid w:val="48FF3281"/>
    <w:rsid w:val="493C571F"/>
    <w:rsid w:val="49782992"/>
    <w:rsid w:val="49E70153"/>
    <w:rsid w:val="49EB3C53"/>
    <w:rsid w:val="49F47A48"/>
    <w:rsid w:val="4A0F629C"/>
    <w:rsid w:val="4A434F64"/>
    <w:rsid w:val="4AAB5218"/>
    <w:rsid w:val="4ACF7291"/>
    <w:rsid w:val="4B4A023F"/>
    <w:rsid w:val="4B511ABF"/>
    <w:rsid w:val="4B6603E7"/>
    <w:rsid w:val="4B934FF7"/>
    <w:rsid w:val="4C18130F"/>
    <w:rsid w:val="4C2904D7"/>
    <w:rsid w:val="4D0A0D72"/>
    <w:rsid w:val="4D445750"/>
    <w:rsid w:val="4D5B1E18"/>
    <w:rsid w:val="4DCA3C01"/>
    <w:rsid w:val="4E4D0F9A"/>
    <w:rsid w:val="4E6B36BC"/>
    <w:rsid w:val="4EAE2F30"/>
    <w:rsid w:val="4EDB562F"/>
    <w:rsid w:val="4EFFDDA3"/>
    <w:rsid w:val="4F1236A7"/>
    <w:rsid w:val="4F1930A5"/>
    <w:rsid w:val="4F245FE4"/>
    <w:rsid w:val="4F25150A"/>
    <w:rsid w:val="4F8374FE"/>
    <w:rsid w:val="4F9202FF"/>
    <w:rsid w:val="4FDE3E30"/>
    <w:rsid w:val="50032322"/>
    <w:rsid w:val="50537701"/>
    <w:rsid w:val="505C5B80"/>
    <w:rsid w:val="506D2CD3"/>
    <w:rsid w:val="50906AC6"/>
    <w:rsid w:val="50923421"/>
    <w:rsid w:val="52BD2E9D"/>
    <w:rsid w:val="52D42A37"/>
    <w:rsid w:val="52EB28EB"/>
    <w:rsid w:val="530C4E4E"/>
    <w:rsid w:val="53A3453A"/>
    <w:rsid w:val="53DB3461"/>
    <w:rsid w:val="54067506"/>
    <w:rsid w:val="544B6AF4"/>
    <w:rsid w:val="54536387"/>
    <w:rsid w:val="546A261E"/>
    <w:rsid w:val="54947BE2"/>
    <w:rsid w:val="54D54BF1"/>
    <w:rsid w:val="54FA4C0F"/>
    <w:rsid w:val="55787877"/>
    <w:rsid w:val="55B04F85"/>
    <w:rsid w:val="55B83A18"/>
    <w:rsid w:val="55DE692D"/>
    <w:rsid w:val="55F27363"/>
    <w:rsid w:val="564132F8"/>
    <w:rsid w:val="564B0881"/>
    <w:rsid w:val="565A0640"/>
    <w:rsid w:val="56754070"/>
    <w:rsid w:val="56D70149"/>
    <w:rsid w:val="571A32F7"/>
    <w:rsid w:val="57416EC2"/>
    <w:rsid w:val="575A7B94"/>
    <w:rsid w:val="577BD6DE"/>
    <w:rsid w:val="57DBB378"/>
    <w:rsid w:val="57F5688E"/>
    <w:rsid w:val="580E733B"/>
    <w:rsid w:val="581817F1"/>
    <w:rsid w:val="58C370B7"/>
    <w:rsid w:val="598A0BC8"/>
    <w:rsid w:val="599963B4"/>
    <w:rsid w:val="59ADD06B"/>
    <w:rsid w:val="59DAFA35"/>
    <w:rsid w:val="5A560A87"/>
    <w:rsid w:val="5AE623A0"/>
    <w:rsid w:val="5B0C7B90"/>
    <w:rsid w:val="5B13515F"/>
    <w:rsid w:val="5B145BC0"/>
    <w:rsid w:val="5B2E986F"/>
    <w:rsid w:val="5B3479DA"/>
    <w:rsid w:val="5B552AA9"/>
    <w:rsid w:val="5B590DC3"/>
    <w:rsid w:val="5B8007BC"/>
    <w:rsid w:val="5BD90C78"/>
    <w:rsid w:val="5BF05E9E"/>
    <w:rsid w:val="5BFF6F75"/>
    <w:rsid w:val="5C2C0ED5"/>
    <w:rsid w:val="5C3E49AF"/>
    <w:rsid w:val="5C442822"/>
    <w:rsid w:val="5C5D4F9D"/>
    <w:rsid w:val="5C7568F1"/>
    <w:rsid w:val="5C803E81"/>
    <w:rsid w:val="5CC75ED0"/>
    <w:rsid w:val="5CCF076B"/>
    <w:rsid w:val="5D116ED0"/>
    <w:rsid w:val="5D266901"/>
    <w:rsid w:val="5D56BE41"/>
    <w:rsid w:val="5D786911"/>
    <w:rsid w:val="5DC715FB"/>
    <w:rsid w:val="5DDE6EAF"/>
    <w:rsid w:val="5DE83434"/>
    <w:rsid w:val="5E3D5A4B"/>
    <w:rsid w:val="5E4E6BDA"/>
    <w:rsid w:val="5E76048C"/>
    <w:rsid w:val="5E77DEF4"/>
    <w:rsid w:val="5EAC6D76"/>
    <w:rsid w:val="5EE258C0"/>
    <w:rsid w:val="5F564CDC"/>
    <w:rsid w:val="5F5F69F3"/>
    <w:rsid w:val="5F6FD377"/>
    <w:rsid w:val="5F835077"/>
    <w:rsid w:val="5FB62157"/>
    <w:rsid w:val="5FC002A9"/>
    <w:rsid w:val="5FC10ACF"/>
    <w:rsid w:val="5FDE3CFB"/>
    <w:rsid w:val="5FEEF34D"/>
    <w:rsid w:val="5FEF1A39"/>
    <w:rsid w:val="5FEF3243"/>
    <w:rsid w:val="5FEF45ED"/>
    <w:rsid w:val="5FFF64BA"/>
    <w:rsid w:val="5FFF7520"/>
    <w:rsid w:val="605959DC"/>
    <w:rsid w:val="60722C56"/>
    <w:rsid w:val="60913A8D"/>
    <w:rsid w:val="60EA1807"/>
    <w:rsid w:val="6153443A"/>
    <w:rsid w:val="616379EA"/>
    <w:rsid w:val="61C4056F"/>
    <w:rsid w:val="61D00F14"/>
    <w:rsid w:val="61DB5842"/>
    <w:rsid w:val="622A6401"/>
    <w:rsid w:val="622B6B68"/>
    <w:rsid w:val="62397929"/>
    <w:rsid w:val="629713D6"/>
    <w:rsid w:val="62CF6045"/>
    <w:rsid w:val="6341332B"/>
    <w:rsid w:val="63885B2F"/>
    <w:rsid w:val="63982110"/>
    <w:rsid w:val="63A13DD1"/>
    <w:rsid w:val="646C0514"/>
    <w:rsid w:val="6480571F"/>
    <w:rsid w:val="650A154A"/>
    <w:rsid w:val="652507F9"/>
    <w:rsid w:val="6548403C"/>
    <w:rsid w:val="65A84167"/>
    <w:rsid w:val="65B71508"/>
    <w:rsid w:val="65BC9F69"/>
    <w:rsid w:val="65F348C2"/>
    <w:rsid w:val="65F53272"/>
    <w:rsid w:val="65F83950"/>
    <w:rsid w:val="663741A1"/>
    <w:rsid w:val="667F21B3"/>
    <w:rsid w:val="66B51186"/>
    <w:rsid w:val="66BC0157"/>
    <w:rsid w:val="670378F6"/>
    <w:rsid w:val="671F123B"/>
    <w:rsid w:val="67500EC0"/>
    <w:rsid w:val="67BFD83A"/>
    <w:rsid w:val="67D8302B"/>
    <w:rsid w:val="67D9A474"/>
    <w:rsid w:val="68B4691C"/>
    <w:rsid w:val="69227140"/>
    <w:rsid w:val="693D0C00"/>
    <w:rsid w:val="6956272B"/>
    <w:rsid w:val="695F5239"/>
    <w:rsid w:val="69DF2DDC"/>
    <w:rsid w:val="6A552CE1"/>
    <w:rsid w:val="6A96018D"/>
    <w:rsid w:val="6ACC7A0A"/>
    <w:rsid w:val="6B1940CB"/>
    <w:rsid w:val="6B1C3A00"/>
    <w:rsid w:val="6B2A27EB"/>
    <w:rsid w:val="6B5F7B29"/>
    <w:rsid w:val="6B771589"/>
    <w:rsid w:val="6BA04FCE"/>
    <w:rsid w:val="6BDF0020"/>
    <w:rsid w:val="6C051378"/>
    <w:rsid w:val="6C1B0AE3"/>
    <w:rsid w:val="6C357C81"/>
    <w:rsid w:val="6C8C0FF3"/>
    <w:rsid w:val="6CCD2DA2"/>
    <w:rsid w:val="6CFEFBF9"/>
    <w:rsid w:val="6D054CDB"/>
    <w:rsid w:val="6D266F73"/>
    <w:rsid w:val="6D4258AF"/>
    <w:rsid w:val="6D4B472B"/>
    <w:rsid w:val="6D5F95B3"/>
    <w:rsid w:val="6D977A48"/>
    <w:rsid w:val="6DA90FAB"/>
    <w:rsid w:val="6DB2563D"/>
    <w:rsid w:val="6DC85BD3"/>
    <w:rsid w:val="6DCA34D9"/>
    <w:rsid w:val="6E293822"/>
    <w:rsid w:val="6E6E0089"/>
    <w:rsid w:val="6E7FF95C"/>
    <w:rsid w:val="6E8E4DD0"/>
    <w:rsid w:val="6ED3798A"/>
    <w:rsid w:val="6EDBBD20"/>
    <w:rsid w:val="6EDF73DA"/>
    <w:rsid w:val="6EEF4FD2"/>
    <w:rsid w:val="6F0E0065"/>
    <w:rsid w:val="6F347E4E"/>
    <w:rsid w:val="6F3B28DC"/>
    <w:rsid w:val="6F443FCD"/>
    <w:rsid w:val="6F4F05FE"/>
    <w:rsid w:val="6F5A4099"/>
    <w:rsid w:val="6F946971"/>
    <w:rsid w:val="6FBF662C"/>
    <w:rsid w:val="6FC22A63"/>
    <w:rsid w:val="6FEA3D0A"/>
    <w:rsid w:val="6FF65CCB"/>
    <w:rsid w:val="6FF66A07"/>
    <w:rsid w:val="6FFBB0F2"/>
    <w:rsid w:val="6FFDCBFB"/>
    <w:rsid w:val="6FFFF0DA"/>
    <w:rsid w:val="7013398F"/>
    <w:rsid w:val="703B1E62"/>
    <w:rsid w:val="70551AD0"/>
    <w:rsid w:val="70A628A5"/>
    <w:rsid w:val="70BD374B"/>
    <w:rsid w:val="70C237CD"/>
    <w:rsid w:val="70D51C49"/>
    <w:rsid w:val="70E93F9D"/>
    <w:rsid w:val="711C5550"/>
    <w:rsid w:val="7132217A"/>
    <w:rsid w:val="713559D7"/>
    <w:rsid w:val="715220E5"/>
    <w:rsid w:val="71704C61"/>
    <w:rsid w:val="719D7620"/>
    <w:rsid w:val="71C20393"/>
    <w:rsid w:val="72222A90"/>
    <w:rsid w:val="729B21C9"/>
    <w:rsid w:val="72C2169F"/>
    <w:rsid w:val="73183BEE"/>
    <w:rsid w:val="732E5C04"/>
    <w:rsid w:val="733D0987"/>
    <w:rsid w:val="734C49F0"/>
    <w:rsid w:val="73700452"/>
    <w:rsid w:val="73AA4C61"/>
    <w:rsid w:val="73DFE5AA"/>
    <w:rsid w:val="73EF34A9"/>
    <w:rsid w:val="74085625"/>
    <w:rsid w:val="742A649B"/>
    <w:rsid w:val="74865ED4"/>
    <w:rsid w:val="74C6434A"/>
    <w:rsid w:val="74D761D2"/>
    <w:rsid w:val="74E33275"/>
    <w:rsid w:val="74EF07F6"/>
    <w:rsid w:val="75223039"/>
    <w:rsid w:val="752E000A"/>
    <w:rsid w:val="753C5586"/>
    <w:rsid w:val="75463985"/>
    <w:rsid w:val="755F0C34"/>
    <w:rsid w:val="757BBAF8"/>
    <w:rsid w:val="757E0A29"/>
    <w:rsid w:val="75A11E88"/>
    <w:rsid w:val="75BCB98F"/>
    <w:rsid w:val="75EFD66E"/>
    <w:rsid w:val="75F7E504"/>
    <w:rsid w:val="76237FE3"/>
    <w:rsid w:val="764F4FC2"/>
    <w:rsid w:val="76701894"/>
    <w:rsid w:val="767B10E0"/>
    <w:rsid w:val="76BFB166"/>
    <w:rsid w:val="76ED9452"/>
    <w:rsid w:val="7701185C"/>
    <w:rsid w:val="7712A25F"/>
    <w:rsid w:val="77AE3DED"/>
    <w:rsid w:val="77E25796"/>
    <w:rsid w:val="77EDF1E1"/>
    <w:rsid w:val="77F8728D"/>
    <w:rsid w:val="780A3A41"/>
    <w:rsid w:val="781B4284"/>
    <w:rsid w:val="78B033A6"/>
    <w:rsid w:val="7931117A"/>
    <w:rsid w:val="799D4DEF"/>
    <w:rsid w:val="79BF4F9D"/>
    <w:rsid w:val="79DF5917"/>
    <w:rsid w:val="79E049D2"/>
    <w:rsid w:val="79E14FF5"/>
    <w:rsid w:val="79E9287E"/>
    <w:rsid w:val="79FB18D8"/>
    <w:rsid w:val="7A0C5594"/>
    <w:rsid w:val="7A1E113C"/>
    <w:rsid w:val="7A3507F6"/>
    <w:rsid w:val="7A8021AF"/>
    <w:rsid w:val="7AB918DB"/>
    <w:rsid w:val="7AFF077F"/>
    <w:rsid w:val="7AFF1C0A"/>
    <w:rsid w:val="7AFF8188"/>
    <w:rsid w:val="7B174C8D"/>
    <w:rsid w:val="7B971309"/>
    <w:rsid w:val="7BB71A3D"/>
    <w:rsid w:val="7BCB35AD"/>
    <w:rsid w:val="7BCE4262"/>
    <w:rsid w:val="7BD37F99"/>
    <w:rsid w:val="7BFE3384"/>
    <w:rsid w:val="7BFE427A"/>
    <w:rsid w:val="7BFEE357"/>
    <w:rsid w:val="7C8049CE"/>
    <w:rsid w:val="7CE02824"/>
    <w:rsid w:val="7CE2525E"/>
    <w:rsid w:val="7CFA4693"/>
    <w:rsid w:val="7CFF60CB"/>
    <w:rsid w:val="7D3E2484"/>
    <w:rsid w:val="7D5B20BA"/>
    <w:rsid w:val="7D79B2A8"/>
    <w:rsid w:val="7D841A32"/>
    <w:rsid w:val="7D85312D"/>
    <w:rsid w:val="7D8E64D4"/>
    <w:rsid w:val="7DA619ED"/>
    <w:rsid w:val="7DAD24AE"/>
    <w:rsid w:val="7DBFF301"/>
    <w:rsid w:val="7DD54DE7"/>
    <w:rsid w:val="7DD925E6"/>
    <w:rsid w:val="7DDDFB7F"/>
    <w:rsid w:val="7DF6C602"/>
    <w:rsid w:val="7DFC5124"/>
    <w:rsid w:val="7E0D6659"/>
    <w:rsid w:val="7E2843E6"/>
    <w:rsid w:val="7E4A65C6"/>
    <w:rsid w:val="7E721262"/>
    <w:rsid w:val="7E772E0F"/>
    <w:rsid w:val="7E947D64"/>
    <w:rsid w:val="7EBA1F3B"/>
    <w:rsid w:val="7EF74570"/>
    <w:rsid w:val="7EFB2609"/>
    <w:rsid w:val="7F141195"/>
    <w:rsid w:val="7F184071"/>
    <w:rsid w:val="7F2B7D38"/>
    <w:rsid w:val="7F5B033E"/>
    <w:rsid w:val="7F5D3540"/>
    <w:rsid w:val="7F737C05"/>
    <w:rsid w:val="7F7DBD70"/>
    <w:rsid w:val="7FA03FC2"/>
    <w:rsid w:val="7FBD053D"/>
    <w:rsid w:val="7FBFFAC7"/>
    <w:rsid w:val="7FCFD2A8"/>
    <w:rsid w:val="7FD79C49"/>
    <w:rsid w:val="7FDD1298"/>
    <w:rsid w:val="7FDE1566"/>
    <w:rsid w:val="7FDFA1A8"/>
    <w:rsid w:val="7FDFA738"/>
    <w:rsid w:val="7FED5E61"/>
    <w:rsid w:val="7FED7CCF"/>
    <w:rsid w:val="7FEF4368"/>
    <w:rsid w:val="7FF50BA3"/>
    <w:rsid w:val="7FF71A71"/>
    <w:rsid w:val="7FF78529"/>
    <w:rsid w:val="7FFF8583"/>
    <w:rsid w:val="7FFFB5A8"/>
    <w:rsid w:val="8B7B6EE6"/>
    <w:rsid w:val="8FEEE876"/>
    <w:rsid w:val="9363F8FB"/>
    <w:rsid w:val="95DF843D"/>
    <w:rsid w:val="97FCAF37"/>
    <w:rsid w:val="9AFDA1D6"/>
    <w:rsid w:val="9D35F417"/>
    <w:rsid w:val="9F7BFA11"/>
    <w:rsid w:val="A28A9799"/>
    <w:rsid w:val="AB6F08DF"/>
    <w:rsid w:val="AF6F46E5"/>
    <w:rsid w:val="B39B91AC"/>
    <w:rsid w:val="B6EF01A5"/>
    <w:rsid w:val="B7DB5C5D"/>
    <w:rsid w:val="BB6D06C9"/>
    <w:rsid w:val="BBCBF04E"/>
    <w:rsid w:val="BBEFA95D"/>
    <w:rsid w:val="BD9FBE15"/>
    <w:rsid w:val="BE5F22F9"/>
    <w:rsid w:val="BE9FAF25"/>
    <w:rsid w:val="BF7F9DD7"/>
    <w:rsid w:val="BFB7E61A"/>
    <w:rsid w:val="BFD70D57"/>
    <w:rsid w:val="BFFB6621"/>
    <w:rsid w:val="CBA6D384"/>
    <w:rsid w:val="CDCFA246"/>
    <w:rsid w:val="CDFF4AE9"/>
    <w:rsid w:val="CE5D07A5"/>
    <w:rsid w:val="CEDFC15D"/>
    <w:rsid w:val="CEF3E536"/>
    <w:rsid w:val="CF53C78A"/>
    <w:rsid w:val="CF6D0774"/>
    <w:rsid w:val="CFFE066B"/>
    <w:rsid w:val="CFFECA08"/>
    <w:rsid w:val="D1F271EB"/>
    <w:rsid w:val="D6DD86F2"/>
    <w:rsid w:val="D7EAEA12"/>
    <w:rsid w:val="D7EE7204"/>
    <w:rsid w:val="D9DF2FF9"/>
    <w:rsid w:val="DBEE63E3"/>
    <w:rsid w:val="DBEF6927"/>
    <w:rsid w:val="DD1D8EE6"/>
    <w:rsid w:val="DDBF2322"/>
    <w:rsid w:val="DE1E04DA"/>
    <w:rsid w:val="DEEF9604"/>
    <w:rsid w:val="DFBEFA28"/>
    <w:rsid w:val="DFBFD05F"/>
    <w:rsid w:val="DFD37E46"/>
    <w:rsid w:val="DFE2B713"/>
    <w:rsid w:val="DFF5333A"/>
    <w:rsid w:val="DFFD63E0"/>
    <w:rsid w:val="E3FBF2F7"/>
    <w:rsid w:val="E51EE0E8"/>
    <w:rsid w:val="E72DEFB1"/>
    <w:rsid w:val="E7FBA14E"/>
    <w:rsid w:val="EA57D27A"/>
    <w:rsid w:val="EBEC2AD0"/>
    <w:rsid w:val="EDCBC711"/>
    <w:rsid w:val="EE7F07B0"/>
    <w:rsid w:val="EEFF7C28"/>
    <w:rsid w:val="EF2D65AB"/>
    <w:rsid w:val="EF5E0C36"/>
    <w:rsid w:val="EFC31471"/>
    <w:rsid w:val="EFFBBDDF"/>
    <w:rsid w:val="EFFF8AC5"/>
    <w:rsid w:val="EFFFE136"/>
    <w:rsid w:val="F13C9882"/>
    <w:rsid w:val="F1BCF0A0"/>
    <w:rsid w:val="F1BED5E5"/>
    <w:rsid w:val="F2EF8BB3"/>
    <w:rsid w:val="F3F47C9C"/>
    <w:rsid w:val="F4F7C9F0"/>
    <w:rsid w:val="F5F40213"/>
    <w:rsid w:val="F5F92F27"/>
    <w:rsid w:val="F7773FD7"/>
    <w:rsid w:val="F7DA4E8F"/>
    <w:rsid w:val="FAFF4B5D"/>
    <w:rsid w:val="FAFF892C"/>
    <w:rsid w:val="FBAE7CAC"/>
    <w:rsid w:val="FBFB6B40"/>
    <w:rsid w:val="FBFE3392"/>
    <w:rsid w:val="FCBB57A0"/>
    <w:rsid w:val="FCEF391F"/>
    <w:rsid w:val="FCF7B456"/>
    <w:rsid w:val="FD46A7BC"/>
    <w:rsid w:val="FD6D2033"/>
    <w:rsid w:val="FDDFEE59"/>
    <w:rsid w:val="FDEF2F5B"/>
    <w:rsid w:val="FDFE3963"/>
    <w:rsid w:val="FE37C05C"/>
    <w:rsid w:val="FEFCECCC"/>
    <w:rsid w:val="FEFFB3FB"/>
    <w:rsid w:val="FEFFF91A"/>
    <w:rsid w:val="FF77162C"/>
    <w:rsid w:val="FF7788DB"/>
    <w:rsid w:val="FF7BA18B"/>
    <w:rsid w:val="FF9F8E48"/>
    <w:rsid w:val="FFA5E85E"/>
    <w:rsid w:val="FFCA1CCE"/>
    <w:rsid w:val="FFD23C95"/>
    <w:rsid w:val="FFD3D757"/>
    <w:rsid w:val="FFDF6B80"/>
    <w:rsid w:val="FFEF0630"/>
    <w:rsid w:val="FFFADAB0"/>
    <w:rsid w:val="FFFD61BD"/>
    <w:rsid w:val="FFFF5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heading 1"/>
    <w:basedOn w:val="1"/>
    <w:next w:val="1"/>
    <w:qFormat/>
    <w:uiPriority w:val="0"/>
    <w:pPr>
      <w:keepNext/>
      <w:keepLines/>
      <w:spacing w:line="576" w:lineRule="exact"/>
      <w:ind w:firstLine="880" w:firstLineChars="200"/>
      <w:outlineLvl w:val="0"/>
    </w:pPr>
    <w:rPr>
      <w:rFonts w:eastAsia="黑体"/>
      <w:bCs/>
      <w:kern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  <w:rPr>
      <w:rFonts w:cs="宋体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next w:val="1"/>
    <w:qFormat/>
    <w:uiPriority w:val="0"/>
    <w:pPr>
      <w:spacing w:before="40" w:after="40"/>
      <w:ind w:firstLine="420"/>
    </w:pPr>
    <w:rPr>
      <w:rFonts w:ascii="Times New Roman" w:hAnsi="Times New Roman" w:eastAsia="宋体"/>
      <w:b/>
      <w:bCs/>
    </w:rPr>
  </w:style>
  <w:style w:type="paragraph" w:styleId="6">
    <w:name w:val="Body Text"/>
    <w:basedOn w:val="1"/>
    <w:next w:val="7"/>
    <w:qFormat/>
    <w:uiPriority w:val="0"/>
    <w:pPr>
      <w:spacing w:line="600" w:lineRule="exact"/>
    </w:pPr>
    <w:rPr>
      <w:rFonts w:ascii="仿宋_GB2312" w:eastAsia="仿宋_GB2312"/>
      <w:sz w:val="30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Indent"/>
    <w:basedOn w:val="1"/>
    <w:unhideWhenUsed/>
    <w:qFormat/>
    <w:uiPriority w:val="99"/>
    <w:pPr>
      <w:ind w:firstLine="420" w:firstLineChars="200"/>
    </w:pPr>
  </w:style>
  <w:style w:type="paragraph" w:styleId="10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5">
    <w:name w:val="UserStyle_0"/>
    <w:next w:val="16"/>
    <w:qFormat/>
    <w:uiPriority w:val="0"/>
    <w:pPr>
      <w:textAlignment w:val="baseline"/>
    </w:pPr>
    <w:rPr>
      <w:rFonts w:ascii="Calibri" w:hAnsi="Calibri" w:eastAsia="宋体" w:cstheme="minorBidi"/>
      <w:color w:val="000000"/>
      <w:sz w:val="24"/>
      <w:szCs w:val="24"/>
      <w:lang w:val="en-US" w:eastAsia="zh-CN" w:bidi="ar-SA"/>
    </w:rPr>
  </w:style>
  <w:style w:type="paragraph" w:customStyle="1" w:styleId="16">
    <w:name w:val="Index5"/>
    <w:basedOn w:val="1"/>
    <w:next w:val="1"/>
    <w:semiHidden/>
    <w:qFormat/>
    <w:uiPriority w:val="0"/>
    <w:pPr>
      <w:ind w:left="1680"/>
      <w:textAlignment w:val="baseline"/>
    </w:pPr>
    <w:rPr>
      <w:rFonts w:ascii="Times New Roman" w:hAnsi="Times New Roman" w:eastAsia="Times New Roman"/>
      <w:sz w:val="32"/>
    </w:rPr>
  </w:style>
  <w:style w:type="character" w:customStyle="1" w:styleId="17">
    <w:name w:val="页眉 Char"/>
    <w:basedOn w:val="14"/>
    <w:link w:val="11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kern w:val="2"/>
      <w:sz w:val="18"/>
      <w:szCs w:val="18"/>
    </w:rPr>
  </w:style>
  <w:style w:type="paragraph" w:customStyle="1" w:styleId="19">
    <w:name w:val="BodyText1I"/>
    <w:basedOn w:val="20"/>
    <w:qFormat/>
    <w:uiPriority w:val="0"/>
    <w:pPr>
      <w:ind w:firstLine="420" w:firstLineChars="100"/>
    </w:pPr>
  </w:style>
  <w:style w:type="paragraph" w:customStyle="1" w:styleId="20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  <w:style w:type="character" w:customStyle="1" w:styleId="21">
    <w:name w:val="font4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2350</Words>
  <Characters>13397</Characters>
  <Lines>1</Lines>
  <Paragraphs>1</Paragraphs>
  <TotalTime>2</TotalTime>
  <ScaleCrop>false</ScaleCrop>
  <LinksUpToDate>false</LinksUpToDate>
  <CharactersWithSpaces>15716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2022-02-16T07:06:00Z</dcterms:created>
  <dc:creator>Administrator</dc:creator>
  <cp:lastModifiedBy>Administrator</cp:lastModifiedBy>
  <cp:lastPrinted>2022-06-25T18:30:00Z</cp:lastPrinted>
  <dcterms:modified xsi:type="dcterms:W3CDTF">2023-05-15T08:27:42Z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42FCE9DE64494DDD8284176D2A468AC4_13</vt:lpwstr>
  </property>
  <property fmtid="{D5CDD505-2E9C-101B-9397-08002B2CF9AE}" pid="4" name="commondata">
    <vt:lpwstr>eyJoZGlkIjoiNjliNmY2ZTFjOWQxOGE2ZDI5YjIxNjM0ZTgxZTFiOWQifQ==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